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r>
        <w:drawing>
          <wp:anchor distT="0" distB="0" distL="0" distR="0" simplePos="0" relativeHeight="251659264" behindDoc="0" locked="0" layoutInCell="1" allowOverlap="1">
            <wp:simplePos x="0" y="0"/>
            <wp:positionH relativeFrom="margin">
              <wp:posOffset>-2943860</wp:posOffset>
            </wp:positionH>
            <wp:positionV relativeFrom="margin">
              <wp:posOffset>323215</wp:posOffset>
            </wp:positionV>
            <wp:extent cx="11083290" cy="7844790"/>
            <wp:effectExtent l="0" t="0" r="3810" b="3810"/>
            <wp:wrapNone/>
            <wp:docPr id="1037" name="背景 耗崽"/>
            <wp:cNvGraphicFramePr/>
            <a:graphic xmlns:a="http://schemas.openxmlformats.org/drawingml/2006/main">
              <a:graphicData uri="http://schemas.openxmlformats.org/drawingml/2006/picture">
                <pic:pic xmlns:pic="http://schemas.openxmlformats.org/drawingml/2006/picture">
                  <pic:nvPicPr>
                    <pic:cNvPr id="1037" name="背景 耗崽"/>
                    <pic:cNvPicPr/>
                  </pic:nvPicPr>
                  <pic:blipFill>
                    <a:blip r:embed="rId9" cstate="print"/>
                    <a:srcRect/>
                    <a:stretch>
                      <a:fillRect/>
                    </a:stretch>
                  </pic:blipFill>
                  <pic:spPr>
                    <a:xfrm rot="16200000">
                      <a:off x="0" y="0"/>
                      <a:ext cx="11083290" cy="7844790"/>
                    </a:xfrm>
                    <a:prstGeom prst="rect">
                      <a:avLst/>
                    </a:prstGeom>
                  </pic:spPr>
                </pic:pic>
              </a:graphicData>
            </a:graphic>
          </wp:anchor>
        </w:drawing>
      </w:r>
      <w:r>
        <w:pict>
          <v:rect id="1028" o:spid="_x0000_s1035" o:spt="1" style="position:absolute;left:0pt;margin-left:23.2pt;margin-top:504.45pt;height:103.25pt;width:431.7pt;z-index:251659264;mso-width-relative:page;mso-height-relative:page;" filled="f" stroked="f" coordsize="21600,21600">
            <v:path/>
            <v:fill on="f" focussize="0,0"/>
            <v:stroke on="f"/>
            <v:imagedata o:title=""/>
            <o:lock v:ext="edit"/>
            <v:textbox>
              <w:txbxContent>
                <w:p>
                  <w:pPr>
                    <w:spacing w:line="600" w:lineRule="auto"/>
                    <w:jc w:val="left"/>
                    <w:rPr>
                      <w:rFonts w:hint="eastAsia"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712</w:t>
                  </w:r>
                </w:p>
                <w:p>
                  <w:pPr>
                    <w:spacing w:line="600" w:lineRule="auto"/>
                    <w:jc w:val="left"/>
                    <w:rPr>
                      <w:rFonts w:hint="default"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共青团张家口市委员会</w:t>
                  </w:r>
                </w:p>
              </w:txbxContent>
            </v:textbox>
          </v:rect>
        </w:pict>
      </w:r>
      <w:r>
        <w:rPr>
          <w:rFonts w:hint="eastAsia"/>
        </w:rPr>
        <w:drawing>
          <wp:anchor distT="0" distB="0" distL="0" distR="0" simplePos="0" relativeHeight="251659264" behindDoc="0" locked="0" layoutInCell="1" allowOverlap="1">
            <wp:simplePos x="0" y="0"/>
            <wp:positionH relativeFrom="column">
              <wp:posOffset>-180975</wp:posOffset>
            </wp:positionH>
            <wp:positionV relativeFrom="margin">
              <wp:posOffset>-158750</wp:posOffset>
            </wp:positionV>
            <wp:extent cx="610235" cy="610235"/>
            <wp:effectExtent l="0" t="0" r="12065" b="12065"/>
            <wp:wrapNone/>
            <wp:docPr id="1026" name="图片 9" descr="32313539333330313b32313539333238393bb9abb8e6"/>
            <wp:cNvGraphicFramePr/>
            <a:graphic xmlns:a="http://schemas.openxmlformats.org/drawingml/2006/main">
              <a:graphicData uri="http://schemas.openxmlformats.org/drawingml/2006/picture">
                <pic:pic xmlns:pic="http://schemas.openxmlformats.org/drawingml/2006/picture">
                  <pic:nvPicPr>
                    <pic:cNvPr id="1026" name="图片 9" descr="32313539333330313b32313539333238393bb9abb8e6"/>
                    <pic:cNvPicPr/>
                  </pic:nvPicPr>
                  <pic:blipFill>
                    <a:blip r:embed="rId10" cstate="print"/>
                    <a:srcRect/>
                    <a:stretch>
                      <a:fillRect/>
                    </a:stretch>
                  </pic:blipFill>
                  <pic:spPr>
                    <a:xfrm>
                      <a:off x="0" y="0"/>
                      <a:ext cx="610235" cy="610235"/>
                    </a:xfrm>
                    <a:prstGeom prst="rect">
                      <a:avLst/>
                    </a:prstGeom>
                  </pic:spPr>
                </pic:pic>
              </a:graphicData>
            </a:graphic>
          </wp:anchor>
        </w:drawing>
      </w:r>
      <w:r>
        <w:pict>
          <v:rect id="1027" o:spid="_x0000_s1036" o:spt="1" style="position:absolute;left:0pt;margin-left:88.2pt;margin-top:625.4pt;height:41pt;width:256.7pt;z-index:251659264;mso-width-relative:page;mso-height-relative:page;" filled="f" stroked="f" coordsize="21600,21600">
            <v:path/>
            <v:fill on="f" focussize="0,0"/>
            <v:stroke on="f"/>
            <v:imagedata o:title=""/>
            <o:lock v:ext="edit"/>
            <v:textbo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二〇二二年十一月</w:t>
                  </w:r>
                </w:p>
              </w:txbxContent>
            </v:textbox>
          </v:rect>
        </w:pict>
      </w:r>
      <w:r>
        <w:pict>
          <v:group id="1029" o:spid="_x0000_s1032" o:spt="203" style="position:absolute;left:0pt;margin-left:-83pt;margin-top:196.75pt;height:274.95pt;width:613.65pt;z-index:251659264;mso-width-relative:page;mso-height-relative:page;" coordorigin="5240,6098" coordsize="12273,5499">
            <o:lock v:ext="edit"/>
            <v:rect id="1030" o:spid="_x0000_s1034" o:spt="1" style="position:absolute;left:15245;top:6099;height:5499;width:2268;v-text-anchor:middle;" fillcolor="#2E75B5" filled="t" stroked="f" coordsize="21600,21600">
              <v:path/>
              <v:fill on="t" focussize="0,0"/>
              <v:stroke on="f" weight="1pt" color="#42719B"/>
              <v:imagedata o:title=""/>
              <o:lock v:ext="edit"/>
              <v:textbox>
                <w:txbxContent>
                  <w:p>
                    <w:pPr>
                      <w:jc w:val="center"/>
                    </w:pPr>
                  </w:p>
                </w:txbxContent>
              </v:textbox>
            </v:rect>
            <v:shape id="1031" o:spid="_x0000_s1033" o:spt="75" type="#_x0000_t75" style="position:absolute;left:5240;top:6098;height:5499;width:10027;" filled="f" o:preferrelative="t" stroked="f" coordsize="21600,21600">
              <v:path/>
              <v:fill on="f" focussize="0,0"/>
              <v:stroke on="f" joinstyle="miter"/>
              <v:imagedata r:id="rId11" embosscolor="#FFFFFF" o:title=""/>
              <o:lock v:ext="edit" aspectratio="t"/>
            </v:shape>
          </v:group>
        </w:pict>
      </w:r>
      <w:r>
        <w:pict>
          <v:rect id="1032" o:spid="_x0000_s1031" o:spt="1" style="position:absolute;left:0pt;margin-left:-19.95pt;margin-top:126.9pt;height:44.9pt;width:432.6pt;z-index:251659264;mso-width-relative:page;mso-height-relative:page;" filled="f" stroked="f" coordsize="21600,21600">
            <v:path/>
            <v:fill on="f" focussize="0,0"/>
            <v:stroke on="f"/>
            <v:imagedata o:title=""/>
            <o:lock v:ext="edit"/>
            <v:textbox>
              <w:txbxContent>
                <w:p>
                  <w:pPr>
                    <w:jc w:val="distribute"/>
                    <w:rPr>
                      <w:rFonts w:ascii="思源黑体 CN Heavy" w:hAnsi="思源黑体 CN Heavy" w:eastAsia="思源黑体 CN Heavy"/>
                      <w:color w:val="A6A6A6"/>
                      <w:kern w:val="0"/>
                      <w:sz w:val="40"/>
                      <w:szCs w:val="40"/>
                    </w:rPr>
                  </w:pPr>
                </w:p>
              </w:txbxContent>
            </v:textbox>
          </v:rect>
        </w:pict>
      </w:r>
      <w:r>
        <w:pict>
          <v:group id="1033" o:spid="_x0000_s1028" o:spt="203" style="position:absolute;left:0pt;margin-left:-22.1pt;margin-top:55.15pt;height:68.65pt;width:451.7pt;z-index:251659264;mso-width-relative:page;mso-height-relative:page;" coordorigin="6119,3077" coordsize="9034,1373">
            <o:lock v:ext="edit"/>
            <v:rect id="1034" o:spid="_x0000_s1030" o:spt="1" style="position:absolute;left:6119;top:3077;height:1187;width:9034;" filled="f" stroked="f" coordsize="21600,21600">
              <v:path/>
              <v:fill on="f" focussize="0,0"/>
              <v:stroke on="f"/>
              <v:imagedata o:title=""/>
              <o:lock v:ext="edit"/>
              <v:textbo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v:textbox>
            </v:rect>
            <v:line id="1035" o:spid="_x0000_s1029" o:spt="20" style="position:absolute;left:6226;top:4450;height:0;width:8700;" stroked="t" coordsize="21600,21600">
              <v:path arrowok="t"/>
              <v:fill focussize="0,0"/>
              <v:stroke weight="2.25pt" color="#42719B" joinstyle="miter" dashstyle="1 1"/>
              <v:imagedata o:title=""/>
              <o:lock v:ext="edit"/>
            </v:line>
          </v:group>
        </w:pict>
      </w:r>
      <w:r>
        <w:pict>
          <v:rect id="1036" o:spid="_x0000_s1027" o:spt="1" style="position:absolute;left:0pt;margin-left:39.25pt;margin-top:-19.3pt;height:62.05pt;width:223.1pt;z-index:251659264;mso-width-relative:page;mso-height-relative:page;" filled="f" stroked="f" coordsize="21600,21600">
            <v:path/>
            <v:fill on="f" focussize="0,0"/>
            <v:stroke on="f"/>
            <v:imagedata o:title=""/>
            <o:lock v:ext="edit"/>
            <v:textbox>
              <w:txbxContent>
                <w:p>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2021年度</w:t>
                  </w:r>
                </w:p>
              </w:txbxContent>
            </v:textbox>
          </v:rect>
        </w:pict>
      </w:r>
      <w:r>
        <w:br w:type="page"/>
      </w:r>
    </w:p>
    <w:p>
      <w:pPr>
        <w:snapToGrid w:val="0"/>
        <w:jc w:val="center"/>
        <w:rPr>
          <w:rFonts w:ascii="楷体_GB2312" w:hAnsi="楷体_GB2312" w:eastAsia="楷体_GB2312" w:cs="楷体_GB2312"/>
          <w:color w:val="000000"/>
          <w:kern w:val="0"/>
          <w:sz w:val="44"/>
          <w:szCs w:val="44"/>
        </w:rPr>
        <w:sectPr>
          <w:pgSz w:w="11906" w:h="16838"/>
          <w:pgMar w:top="2041" w:right="1531" w:bottom="2041" w:left="1531" w:header="851" w:footer="992" w:gutter="0"/>
          <w:cols w:space="0" w:num="1"/>
          <w:titlePg/>
          <w:docGrid w:type="lines" w:linePitch="312" w:charSpace="0"/>
        </w:sect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drawing>
          <wp:anchor distT="0" distB="0" distL="0" distR="0" simplePos="0" relativeHeight="251659264"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1038" name="图片 71" descr="32313538393631303b32313538393632373bc4bfc2bc"/>
            <wp:cNvGraphicFramePr/>
            <a:graphic xmlns:a="http://schemas.openxmlformats.org/drawingml/2006/main">
              <a:graphicData uri="http://schemas.openxmlformats.org/drawingml/2006/picture">
                <pic:pic xmlns:pic="http://schemas.openxmlformats.org/drawingml/2006/picture">
                  <pic:nvPicPr>
                    <pic:cNvPr id="1038" name="图片 71" descr="32313538393631303b32313538393632373bc4bfc2bc"/>
                    <pic:cNvPicPr/>
                  </pic:nvPicPr>
                  <pic:blipFill>
                    <a:blip r:embed="rId12" cstate="print"/>
                    <a:srcRect/>
                    <a:stretch>
                      <a:fillRect/>
                    </a:stretch>
                  </pic:blipFill>
                  <pic:spPr>
                    <a:xfrm>
                      <a:off x="0" y="0"/>
                      <a:ext cx="639445" cy="639445"/>
                    </a:xfrm>
                    <a:prstGeom prst="rect">
                      <a:avLst/>
                    </a:prstGeom>
                  </pic:spPr>
                </pic:pic>
              </a:graphicData>
            </a:graphic>
          </wp:anchor>
        </w:drawing>
      </w:r>
    </w:p>
    <w:p>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4"/>
          <w:szCs w:val="44"/>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2021年</w:t>
      </w:r>
      <w:r>
        <w:rPr>
          <w:rFonts w:ascii="Times New Roman" w:hAnsi="Times New Roman" w:eastAsia="黑体" w:cs="Times New Roman"/>
          <w:sz w:val="32"/>
          <w:szCs w:val="32"/>
        </w:rPr>
        <w:t>度部门决算报表</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第三部分   </w:t>
      </w:r>
      <w:r>
        <w:rPr>
          <w:rFonts w:hint="eastAsia" w:ascii="Times New Roman" w:hAnsi="Times New Roman" w:eastAsia="黑体" w:cs="Times New Roman"/>
          <w:sz w:val="32"/>
          <w:szCs w:val="32"/>
        </w:rPr>
        <w:t>2021年</w:t>
      </w:r>
      <w:r>
        <w:rPr>
          <w:rFonts w:ascii="Times New Roman" w:hAnsi="Times New Roman" w:eastAsia="黑体" w:cs="Times New Roman"/>
          <w:sz w:val="32"/>
          <w:szCs w:val="32"/>
        </w:rPr>
        <w:t>部门决算情况说明</w:t>
      </w:r>
    </w:p>
    <w:p>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w:t>
      </w:r>
      <w:r>
        <w:rPr>
          <w:rFonts w:hint="eastAsia" w:ascii="Times New Roman" w:hAnsi="Times New Roman" w:eastAsia="仿宋_GB2312" w:cs="Times New Roman"/>
          <w:sz w:val="32"/>
          <w:szCs w:val="32"/>
        </w:rPr>
        <w:t>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五、一般公共预算“三公” 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七、机关运行经费情况</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政府采购情况</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九、国有资产占用情况</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十、其他需要说明的情况</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黑体" w:cs="Times New Roman"/>
          <w:sz w:val="32"/>
          <w:szCs w:val="32"/>
        </w:rPr>
        <w:sectPr>
          <w:headerReference r:id="rId4" w:type="first"/>
          <w:footerReference r:id="rId6" w:type="first"/>
          <w:headerReference r:id="rId3" w:type="default"/>
          <w:footerReference r:id="rId5" w:type="default"/>
          <w:pgSz w:w="11906" w:h="16838"/>
          <w:pgMar w:top="1474" w:right="1531" w:bottom="1474" w:left="1531" w:header="851" w:footer="992" w:gutter="0"/>
          <w:cols w:space="0" w:num="1"/>
          <w:titlePg/>
          <w:docGrid w:type="lines" w:linePitch="312" w:charSpace="0"/>
        </w:sectPr>
      </w:pPr>
    </w:p>
    <w:p>
      <w:pPr>
        <w:widowControl/>
        <w:jc w:val="center"/>
        <w:rPr>
          <w:rFonts w:ascii="黑体" w:hAnsi="黑体" w:eastAsia="黑体" w:cs="黑体"/>
          <w:color w:val="000000"/>
          <w:sz w:val="48"/>
          <w:szCs w:val="48"/>
        </w:rPr>
      </w:pPr>
    </w:p>
    <w:p>
      <w:pPr>
        <w:widowControl/>
        <w:jc w:val="center"/>
        <w:rPr>
          <w:rFonts w:ascii="黑体" w:hAnsi="黑体" w:eastAsia="黑体" w:cs="黑体"/>
          <w:color w:val="000000"/>
          <w:sz w:val="48"/>
          <w:szCs w:val="48"/>
        </w:rPr>
      </w:pPr>
    </w:p>
    <w:p>
      <w:pPr>
        <w:widowControl/>
        <w:jc w:val="center"/>
        <w:rPr>
          <w:rFonts w:ascii="黑体" w:hAnsi="黑体" w:eastAsia="黑体" w:cs="黑体"/>
          <w:color w:val="000000"/>
          <w:sz w:val="48"/>
          <w:szCs w:val="48"/>
        </w:rPr>
      </w:pPr>
    </w:p>
    <w:p>
      <w:pPr>
        <w:widowControl/>
        <w:jc w:val="center"/>
        <w:rPr>
          <w:rFonts w:ascii="黑体" w:hAnsi="黑体" w:eastAsia="黑体" w:cs="黑体"/>
          <w:color w:val="000000"/>
          <w:sz w:val="48"/>
          <w:szCs w:val="48"/>
        </w:rPr>
      </w:pPr>
    </w:p>
    <w:p>
      <w:pPr>
        <w:widowControl/>
        <w:jc w:val="center"/>
        <w:rPr>
          <w:rFonts w:ascii="黑体" w:hAnsi="黑体" w:eastAsia="黑体" w:cs="黑体"/>
          <w:color w:val="000000"/>
          <w:sz w:val="48"/>
          <w:szCs w:val="48"/>
        </w:rPr>
      </w:pPr>
    </w:p>
    <w:p>
      <w:pPr>
        <w:widowControl/>
        <w:jc w:val="center"/>
        <w:rPr>
          <w:rFonts w:ascii="黑体" w:hAnsi="黑体" w:eastAsia="黑体" w:cs="黑体"/>
          <w:color w:val="000000"/>
          <w:sz w:val="48"/>
          <w:szCs w:val="48"/>
        </w:rPr>
      </w:pPr>
    </w:p>
    <w:p>
      <w:pPr>
        <w:widowControl/>
        <w:jc w:val="center"/>
        <w:rPr>
          <w:rFonts w:ascii="黑体" w:hAnsi="黑体" w:eastAsia="黑体" w:cs="黑体"/>
          <w:color w:val="000000"/>
          <w:sz w:val="48"/>
          <w:szCs w:val="48"/>
        </w:rPr>
      </w:pPr>
      <w:r>
        <w:rPr>
          <w:sz w:val="32"/>
        </w:rPr>
        <w:drawing>
          <wp:anchor distT="0" distB="0" distL="0" distR="0" simplePos="0" relativeHeight="251659264" behindDoc="0" locked="0" layoutInCell="1" allowOverlap="1">
            <wp:simplePos x="0" y="0"/>
            <wp:positionH relativeFrom="column">
              <wp:posOffset>603250</wp:posOffset>
            </wp:positionH>
            <wp:positionV relativeFrom="margin">
              <wp:posOffset>2540635</wp:posOffset>
            </wp:positionV>
            <wp:extent cx="739775" cy="739775"/>
            <wp:effectExtent l="0" t="0" r="9525" b="9525"/>
            <wp:wrapNone/>
            <wp:docPr id="1039" name="图片 67" descr="32313535393135353b32313535393132353bd0b4d7d6c2a5"/>
            <wp:cNvGraphicFramePr/>
            <a:graphic xmlns:a="http://schemas.openxmlformats.org/drawingml/2006/main">
              <a:graphicData uri="http://schemas.openxmlformats.org/drawingml/2006/picture">
                <pic:pic xmlns:pic="http://schemas.openxmlformats.org/drawingml/2006/picture">
                  <pic:nvPicPr>
                    <pic:cNvPr id="1039" name="图片 67" descr="32313535393135353b32313535393132353bd0b4d7d6c2a5"/>
                    <pic:cNvPicPr/>
                  </pic:nvPicPr>
                  <pic:blipFill>
                    <a:blip r:embed="rId13" cstate="print"/>
                    <a:srcRect/>
                    <a:stretch>
                      <a:fillRect/>
                    </a:stretch>
                  </pic:blipFill>
                  <pic:spPr>
                    <a:xfrm>
                      <a:off x="0" y="0"/>
                      <a:ext cx="739775" cy="739775"/>
                    </a:xfrm>
                    <a:prstGeom prst="rect">
                      <a:avLst/>
                    </a:prstGeom>
                  </pic:spPr>
                </pic:pic>
              </a:graphicData>
            </a:graphic>
          </wp:anchor>
        </w:drawing>
      </w:r>
    </w:p>
    <w:p>
      <w:pPr>
        <w:widowControl/>
        <w:jc w:val="center"/>
        <w:rPr>
          <w:rFonts w:ascii="黑体" w:hAnsi="黑体" w:eastAsia="黑体" w:cs="黑体"/>
          <w:color w:val="000000"/>
          <w:sz w:val="44"/>
          <w:szCs w:val="44"/>
        </w:rPr>
      </w:pPr>
      <w:r>
        <w:rPr>
          <w:rFonts w:hint="eastAsia" w:ascii="黑体" w:hAnsi="黑体" w:eastAsia="黑体" w:cs="黑体"/>
          <w:color w:val="000000"/>
          <w:sz w:val="44"/>
          <w:szCs w:val="44"/>
        </w:rPr>
        <w:t xml:space="preserve"> 第一部分  部门概况</w:t>
      </w:r>
    </w:p>
    <w:p>
      <w:pPr>
        <w:rPr>
          <w:rFonts w:ascii="黑体" w:eastAsia="黑体" w:cs="黑体"/>
          <w:kern w:val="0"/>
          <w:sz w:val="32"/>
          <w:szCs w:val="32"/>
        </w:rPr>
      </w:pPr>
      <w:r>
        <w:rPr>
          <w:rFonts w:hint="eastAsia" w:ascii="黑体" w:eastAsia="黑体" w:cs="黑体"/>
          <w:kern w:val="0"/>
          <w:sz w:val="32"/>
          <w:szCs w:val="32"/>
        </w:rPr>
        <w:br w:type="page"/>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eastAsia="黑体" w:cs="黑体"/>
          <w:b w:val="0"/>
          <w:bCs w:val="0"/>
          <w:kern w:val="0"/>
          <w:sz w:val="32"/>
          <w:szCs w:val="32"/>
        </w:rPr>
      </w:pPr>
      <w:r>
        <w:rPr>
          <w:rFonts w:hint="eastAsia" w:ascii="黑体" w:eastAsia="黑体" w:cs="黑体"/>
          <w:b w:val="0"/>
          <w:bCs w:val="0"/>
          <w:kern w:val="0"/>
          <w:sz w:val="32"/>
          <w:szCs w:val="32"/>
        </w:rPr>
        <w:t>部门职责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领导全市共青团工作。围绕市委工作中心和团省委工作要求，提出每个时期工作的指导思想和基本任务，制定全市团的工作计划，并组织实施；负责指导、检查、督促各县区和市直单位团的工作；按照《团章》规定，负责筹备召开全市团的代表大会和全委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（2）调查了解青年思想动态和青年工作情况，及时向市委和上级团委制定有关青年工作的方针、政策提供依据。认真研究探索社会主义市场经济条件下青年工作的规律和方法，及时提出解决问题的意见和措施。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（3）加强团的思想政治工作。组织团员青年认真学习政治理论和建设有中国特色的社会主义理论，广泛开展党的基本路线教育，国情教育及民主法制教育。加强青年文化建设，推进青年志愿者行动。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（4）加强团的组织建设。加强团的基层组织和团员队伍建设，做好“双推”工作；加强团干部队伍和团各级领导班子建设，深化团干部制度改革。协助党委组织部门做好团干部转业输送工作。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（5）发挥青年在经济建设中的生力军和突击队作用。组织引导青年积极投身改革开放、经济建设和建立社会主义市场经济体制的实践，为实现“富民强县兴市奔小康”的奋斗目标建功立业。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6）开展青少年维权和社会监督工作。认真贯彻实施《中华人民共和国未成年人保护法》，维护青少年的合法权益。关心青少年的工作、学习和生活，及时向市委、市政府反映青少年的意见和要求；广泛开展社会监督，同各种危害社会和青少年合法权益的行为作斗争，为青少年的健康成长创造良好的环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（7）组织实施希望工程。资助因家庭贫困失学或面临失学儿童完成学业，做好希望工程实施中的宣传、筹资、救助、管理、教育等具体工作。吸引外地资金，建设希望小学，改善贫困地方的办学条件。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（8）做好青年统战工作，广泛团结全市各界青年在两个文明建设中更好地发挥作用。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（9）抓好对全市团办实体的指导和管理。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（10）选树、命名、表彰在两个文明建设中做出突出成绩的先进青年群体和个人。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（11）帮助和指导市青年联合会和市学生联合会开展工作，负责市青联、市学联秘书处日常工作。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黑体" w:eastAsia="黑体" w:cs="黑体"/>
          <w:b w:val="0"/>
          <w:bCs w:val="0"/>
          <w:kern w:val="0"/>
          <w:sz w:val="32"/>
          <w:szCs w:val="32"/>
        </w:rPr>
      </w:pPr>
      <w:r>
        <w:rPr>
          <w:rFonts w:hint="eastAsia" w:ascii="Times New Roman" w:hAnsi="Times New Roman" w:eastAsia="仿宋_GB2312"/>
          <w:sz w:val="32"/>
          <w:szCs w:val="32"/>
        </w:rPr>
        <w:t>（12）受党的委托，领导全市少先队工作，负责市少先队工作委员会的日常工作。  </w:t>
      </w:r>
    </w:p>
    <w:p>
      <w:pPr>
        <w:keepNext/>
        <w:keepLines/>
        <w:spacing w:line="580" w:lineRule="exact"/>
        <w:ind w:firstLine="640" w:firstLineChars="200"/>
        <w:jc w:val="left"/>
        <w:outlineLvl w:val="0"/>
        <w:rPr>
          <w:rFonts w:ascii="黑体" w:eastAsia="黑体" w:cs="黑体"/>
          <w:kern w:val="0"/>
          <w:sz w:val="32"/>
          <w:szCs w:val="32"/>
        </w:rPr>
      </w:pPr>
      <w:r>
        <w:rPr>
          <w:rFonts w:hint="eastAsia" w:ascii="黑体" w:eastAsia="黑体" w:cs="黑体"/>
          <w:kern w:val="0"/>
          <w:sz w:val="32"/>
          <w:szCs w:val="32"/>
        </w:rPr>
        <w:t>二、机构设置</w:t>
      </w:r>
    </w:p>
    <w:p>
      <w:pPr>
        <w:spacing w:line="580" w:lineRule="exact"/>
        <w:ind w:firstLine="640" w:firstLineChars="200"/>
        <w:rPr>
          <w:rFonts w:ascii="仿宋_GB2312" w:eastAsia="仿宋_GB2312" w:cs="ArialUnicodeMS"/>
          <w:kern w:val="0"/>
          <w:sz w:val="32"/>
          <w:szCs w:val="32"/>
        </w:rPr>
      </w:pPr>
      <w:r>
        <w:rPr>
          <w:rFonts w:hint="eastAsia" w:ascii="仿宋_GB2312" w:eastAsia="仿宋_GB2312" w:cs="ArialUnicodeMS"/>
          <w:kern w:val="0"/>
          <w:sz w:val="32"/>
          <w:szCs w:val="32"/>
        </w:rPr>
        <w:t>从决算编报单位构成看，纳入2021年度本部门决算汇编范围的独立核算单位（以下简称“单位”）共</w:t>
      </w:r>
      <w:r>
        <w:rPr>
          <w:rFonts w:hint="eastAsia" w:ascii="仿宋_GB2312" w:eastAsia="仿宋_GB2312" w:cs="ArialUnicodeMS"/>
          <w:kern w:val="0"/>
          <w:sz w:val="32"/>
          <w:szCs w:val="32"/>
          <w:lang w:val="en-US" w:eastAsia="zh-CN"/>
        </w:rPr>
        <w:t>1</w:t>
      </w:r>
      <w:r>
        <w:rPr>
          <w:rFonts w:hint="eastAsia" w:ascii="仿宋_GB2312" w:eastAsia="仿宋_GB2312" w:cs="ArialUnicodeMS"/>
          <w:kern w:val="0"/>
          <w:sz w:val="32"/>
          <w:szCs w:val="32"/>
        </w:rPr>
        <w:t>个，具体情况如下：</w:t>
      </w:r>
    </w:p>
    <w:tbl>
      <w:tblPr>
        <w:tblStyle w:val="9"/>
        <w:tblpPr w:leftFromText="180" w:rightFromText="180" w:vertAnchor="text" w:horzAnchor="page" w:tblpXSpec="center" w:tblpY="10"/>
        <w:tblOverlap w:val="never"/>
        <w:tblW w:w="9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5025"/>
        <w:gridCol w:w="2220"/>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12" w:type="dxa"/>
            <w:vAlign w:val="center"/>
          </w:tcPr>
          <w:p>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序号</w:t>
            </w:r>
          </w:p>
        </w:tc>
        <w:tc>
          <w:tcPr>
            <w:tcW w:w="5025" w:type="dxa"/>
            <w:vAlign w:val="center"/>
          </w:tcPr>
          <w:p>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单位名称</w:t>
            </w:r>
          </w:p>
        </w:tc>
        <w:tc>
          <w:tcPr>
            <w:tcW w:w="2220" w:type="dxa"/>
            <w:vAlign w:val="center"/>
          </w:tcPr>
          <w:p>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单位基本性质</w:t>
            </w:r>
          </w:p>
        </w:tc>
        <w:tc>
          <w:tcPr>
            <w:tcW w:w="1540" w:type="dxa"/>
            <w:vAlign w:val="center"/>
          </w:tcPr>
          <w:p>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12" w:type="dxa"/>
          </w:tcPr>
          <w:p>
            <w:pPr>
              <w:spacing w:line="560" w:lineRule="exact"/>
              <w:jc w:val="center"/>
              <w:rPr>
                <w:rFonts w:ascii="仿宋_GB2312" w:hAnsi="Calibri" w:eastAsia="仿宋_GB2312" w:cs="Arial Black"/>
                <w:kern w:val="0"/>
                <w:sz w:val="28"/>
                <w:szCs w:val="28"/>
              </w:rPr>
            </w:pPr>
            <w:r>
              <w:rPr>
                <w:rFonts w:hint="eastAsia" w:ascii="仿宋_GB2312" w:hAnsi="Calibri" w:eastAsia="仿宋_GB2312" w:cs="Arial Black"/>
                <w:kern w:val="0"/>
                <w:sz w:val="28"/>
                <w:szCs w:val="28"/>
              </w:rPr>
              <w:t>1</w:t>
            </w:r>
          </w:p>
        </w:tc>
        <w:tc>
          <w:tcPr>
            <w:tcW w:w="5025" w:type="dxa"/>
          </w:tcPr>
          <w:p>
            <w:pPr>
              <w:spacing w:line="560" w:lineRule="exact"/>
              <w:rPr>
                <w:rFonts w:ascii="仿宋_GB2312" w:hAnsi="Calibri" w:eastAsia="仿宋_GB2312" w:cs="Arial Black"/>
                <w:kern w:val="0"/>
                <w:sz w:val="28"/>
                <w:szCs w:val="28"/>
              </w:rPr>
            </w:pPr>
            <w:r>
              <w:rPr>
                <w:rFonts w:hint="eastAsia" w:ascii="仿宋_GB2312" w:hAnsi="Calibri" w:eastAsia="仿宋_GB2312" w:cs="ArialUnicodeMS"/>
                <w:kern w:val="0"/>
                <w:sz w:val="28"/>
                <w:szCs w:val="28"/>
                <w:vertAlign w:val="baseline"/>
                <w:lang w:val="en-US" w:eastAsia="zh-CN"/>
              </w:rPr>
              <w:t>中国共产主义青年团张家口市委员会</w:t>
            </w:r>
          </w:p>
        </w:tc>
        <w:tc>
          <w:tcPr>
            <w:tcW w:w="2220" w:type="dxa"/>
          </w:tcPr>
          <w:p>
            <w:pPr>
              <w:spacing w:line="560" w:lineRule="exact"/>
              <w:jc w:val="center"/>
              <w:rPr>
                <w:rFonts w:ascii="仿宋_GB2312" w:hAnsi="Calibri" w:eastAsia="仿宋_GB2312" w:cs="Arial Black"/>
                <w:kern w:val="0"/>
                <w:sz w:val="28"/>
                <w:szCs w:val="28"/>
              </w:rPr>
            </w:pPr>
            <w:r>
              <w:rPr>
                <w:rFonts w:hint="eastAsia" w:ascii="仿宋_GB2312" w:hAnsi="Calibri" w:eastAsia="仿宋_GB2312" w:cs="ArialUnicodeMS"/>
                <w:kern w:val="0"/>
                <w:sz w:val="28"/>
                <w:szCs w:val="28"/>
                <w:vertAlign w:val="baseline"/>
                <w:lang w:eastAsia="zh-CN"/>
              </w:rPr>
              <w:t>行政单位</w:t>
            </w:r>
          </w:p>
        </w:tc>
        <w:tc>
          <w:tcPr>
            <w:tcW w:w="1540" w:type="dxa"/>
          </w:tcPr>
          <w:p>
            <w:pPr>
              <w:spacing w:line="560" w:lineRule="exact"/>
              <w:jc w:val="center"/>
              <w:rPr>
                <w:rFonts w:ascii="仿宋_GB2312" w:hAnsi="Calibri" w:eastAsia="仿宋_GB2312" w:cs="Arial Black"/>
                <w:kern w:val="0"/>
                <w:sz w:val="28"/>
                <w:szCs w:val="28"/>
              </w:rPr>
            </w:pPr>
            <w:r>
              <w:rPr>
                <w:rFonts w:hint="eastAsia" w:ascii="仿宋_GB2312" w:hAnsi="Calibri" w:eastAsia="仿宋_GB2312" w:cs="ArialUnicodeMS"/>
                <w:kern w:val="0"/>
                <w:sz w:val="28"/>
                <w:szCs w:val="28"/>
                <w:vertAlign w:val="baseline"/>
                <w:lang w:eastAsia="zh-CN"/>
              </w:rPr>
              <w:t>财政拨款</w:t>
            </w: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880" w:firstLineChars="200"/>
        <w:rPr>
          <w:rFonts w:ascii="黑体" w:hAnsi="黑体" w:eastAsia="黑体" w:cs="黑体"/>
          <w:color w:val="000000"/>
          <w:sz w:val="44"/>
          <w:szCs w:val="44"/>
        </w:rPr>
      </w:pPr>
    </w:p>
    <w:p>
      <w:pPr>
        <w:widowControl/>
        <w:spacing w:after="160" w:line="580" w:lineRule="exact"/>
        <w:ind w:firstLine="880" w:firstLineChars="200"/>
        <w:rPr>
          <w:rFonts w:ascii="黑体" w:hAnsi="黑体" w:eastAsia="黑体" w:cs="黑体"/>
          <w:color w:val="000000"/>
          <w:sz w:val="44"/>
          <w:szCs w:val="44"/>
        </w:rPr>
      </w:pPr>
    </w:p>
    <w:p>
      <w:pPr>
        <w:widowControl/>
        <w:spacing w:after="160" w:line="580" w:lineRule="exact"/>
        <w:ind w:firstLine="880" w:firstLineChars="200"/>
        <w:rPr>
          <w:rFonts w:ascii="黑体" w:hAnsi="黑体" w:eastAsia="黑体" w:cs="黑体"/>
          <w:color w:val="000000"/>
          <w:sz w:val="44"/>
          <w:szCs w:val="44"/>
        </w:rPr>
      </w:pPr>
    </w:p>
    <w:p>
      <w:pPr>
        <w:widowControl/>
        <w:spacing w:after="160" w:line="580" w:lineRule="exact"/>
        <w:ind w:firstLine="880" w:firstLineChars="200"/>
        <w:rPr>
          <w:rFonts w:ascii="黑体" w:hAnsi="黑体" w:eastAsia="黑体" w:cs="黑体"/>
          <w:color w:val="000000"/>
          <w:sz w:val="44"/>
          <w:szCs w:val="44"/>
        </w:rPr>
      </w:pPr>
    </w:p>
    <w:p>
      <w:pPr>
        <w:widowControl/>
        <w:spacing w:after="160" w:line="580" w:lineRule="exact"/>
        <w:ind w:firstLine="1920" w:firstLineChars="600"/>
        <w:rPr>
          <w:rFonts w:ascii="黑体" w:hAnsi="黑体" w:eastAsia="黑体" w:cs="黑体"/>
          <w:color w:val="000000"/>
          <w:sz w:val="44"/>
          <w:szCs w:val="44"/>
        </w:rPr>
        <w:sectPr>
          <w:headerReference r:id="rId7" w:type="default"/>
          <w:pgSz w:w="11906" w:h="16838"/>
          <w:pgMar w:top="2041" w:right="1531" w:bottom="1774" w:left="1531" w:header="851" w:footer="992" w:gutter="0"/>
          <w:pgNumType w:fmt="numberInDash"/>
          <w:cols w:space="0" w:num="1"/>
          <w:titlePg/>
          <w:docGrid w:type="lines" w:linePitch="312" w:charSpace="0"/>
        </w:sectPr>
      </w:pPr>
      <w:r>
        <w:rPr>
          <w:rFonts w:hint="eastAsia" w:ascii="Times New Roman" w:hAnsi="Times New Roman" w:eastAsia="黑体" w:cs="Times New Roman"/>
          <w:sz w:val="32"/>
          <w:szCs w:val="32"/>
        </w:rPr>
        <w:drawing>
          <wp:anchor distT="0" distB="0" distL="0" distR="0" simplePos="0" relativeHeight="251659264" behindDoc="0" locked="0" layoutInCell="1" allowOverlap="1">
            <wp:simplePos x="0" y="0"/>
            <wp:positionH relativeFrom="column">
              <wp:posOffset>457200</wp:posOffset>
            </wp:positionH>
            <wp:positionV relativeFrom="margin">
              <wp:posOffset>2243455</wp:posOffset>
            </wp:positionV>
            <wp:extent cx="579120" cy="579120"/>
            <wp:effectExtent l="0" t="0" r="0" b="5080"/>
            <wp:wrapNone/>
            <wp:docPr id="1040" name="图片 70" descr="32303235303832303b32303235353434303bcec4bcfeb1edb8f1"/>
            <wp:cNvGraphicFramePr/>
            <a:graphic xmlns:a="http://schemas.openxmlformats.org/drawingml/2006/main">
              <a:graphicData uri="http://schemas.openxmlformats.org/drawingml/2006/picture">
                <pic:pic xmlns:pic="http://schemas.openxmlformats.org/drawingml/2006/picture">
                  <pic:nvPicPr>
                    <pic:cNvPr id="1040" name="图片 70" descr="32303235303832303b32303235353434303bcec4bcfeb1edb8f1"/>
                    <pic:cNvPicPr/>
                  </pic:nvPicPr>
                  <pic:blipFill>
                    <a:blip r:embed="rId14" cstate="print"/>
                    <a:srcRect/>
                    <a:stretch>
                      <a:fillRect/>
                    </a:stretch>
                  </pic:blipFill>
                  <pic:spPr>
                    <a:xfrm>
                      <a:off x="0" y="0"/>
                      <a:ext cx="579120" cy="579120"/>
                    </a:xfrm>
                    <a:prstGeom prst="rect">
                      <a:avLst/>
                    </a:prstGeom>
                  </pic:spPr>
                </pic:pic>
              </a:graphicData>
            </a:graphic>
          </wp:anchor>
        </w:drawing>
      </w:r>
      <w:r>
        <w:rPr>
          <w:rFonts w:hint="eastAsia" w:ascii="黑体" w:hAnsi="黑体" w:eastAsia="黑体" w:cs="黑体"/>
          <w:color w:val="000000"/>
          <w:sz w:val="44"/>
          <w:szCs w:val="44"/>
        </w:rPr>
        <w:t>第二部分  2021年度部门决算表</w:t>
      </w:r>
    </w:p>
    <w:tbl>
      <w:tblPr>
        <w:tblStyle w:val="8"/>
        <w:tblpPr w:leftFromText="180" w:rightFromText="180" w:vertAnchor="text" w:horzAnchor="page" w:tblpXSpec="center" w:tblpY="330"/>
        <w:tblOverlap w:val="never"/>
        <w:tblW w:w="9420" w:type="dxa"/>
        <w:jc w:val="center"/>
        <w:tblLayout w:type="fixed"/>
        <w:tblCellMar>
          <w:top w:w="0" w:type="dxa"/>
          <w:left w:w="0" w:type="dxa"/>
          <w:bottom w:w="0" w:type="dxa"/>
          <w:right w:w="0" w:type="dxa"/>
        </w:tblCellMar>
      </w:tblPr>
      <w:tblGrid>
        <w:gridCol w:w="3416"/>
        <w:gridCol w:w="508"/>
        <w:gridCol w:w="682"/>
        <w:gridCol w:w="3436"/>
        <w:gridCol w:w="534"/>
        <w:gridCol w:w="844"/>
      </w:tblGrid>
      <w:tr>
        <w:tblPrEx>
          <w:tblCellMar>
            <w:top w:w="0" w:type="dxa"/>
            <w:left w:w="0" w:type="dxa"/>
            <w:bottom w:w="0" w:type="dxa"/>
            <w:right w:w="0" w:type="dxa"/>
          </w:tblCellMar>
        </w:tblPrEx>
        <w:trPr>
          <w:trHeight w:val="165" w:hRule="atLeast"/>
          <w:jc w:val="center"/>
        </w:trPr>
        <w:tc>
          <w:tcPr>
            <w:tcW w:w="9420" w:type="dxa"/>
            <w:gridSpan w:val="6"/>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rPr>
                <w:rFonts w:ascii="黑体" w:hAnsi="宋体" w:eastAsia="黑体" w:cs="黑体"/>
                <w:color w:val="000000"/>
                <w:sz w:val="28"/>
                <w:szCs w:val="28"/>
              </w:rPr>
            </w:pPr>
            <w:r>
              <w:rPr>
                <w:rFonts w:hint="eastAsia" w:ascii="黑体" w:hAnsi="宋体" w:eastAsia="黑体" w:cs="黑体"/>
                <w:color w:val="000000"/>
                <w:kern w:val="0"/>
                <w:sz w:val="28"/>
                <w:szCs w:val="28"/>
              </w:rPr>
              <w:t>收入支出决算总表</w:t>
            </w:r>
          </w:p>
        </w:tc>
      </w:tr>
      <w:tr>
        <w:tblPrEx>
          <w:tblCellMar>
            <w:top w:w="0" w:type="dxa"/>
            <w:left w:w="0" w:type="dxa"/>
            <w:bottom w:w="0" w:type="dxa"/>
            <w:right w:w="0" w:type="dxa"/>
          </w:tblCellMar>
        </w:tblPrEx>
        <w:trPr>
          <w:trHeight w:val="294" w:hRule="atLeast"/>
          <w:jc w:val="center"/>
        </w:trPr>
        <w:tc>
          <w:tcPr>
            <w:tcW w:w="341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50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68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4814"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color w:val="000000"/>
                <w:sz w:val="18"/>
                <w:szCs w:val="18"/>
              </w:rPr>
            </w:pPr>
            <w:r>
              <w:rPr>
                <w:rFonts w:hint="eastAsia" w:ascii="宋体" w:hAnsi="宋体"/>
                <w:color w:val="000000"/>
                <w:kern w:val="0"/>
                <w:sz w:val="18"/>
                <w:szCs w:val="18"/>
              </w:rPr>
              <w:t>公开01表</w:t>
            </w:r>
          </w:p>
        </w:tc>
      </w:tr>
      <w:tr>
        <w:tblPrEx>
          <w:tblCellMar>
            <w:top w:w="0" w:type="dxa"/>
            <w:left w:w="0" w:type="dxa"/>
            <w:bottom w:w="0" w:type="dxa"/>
            <w:right w:w="0" w:type="dxa"/>
          </w:tblCellMar>
        </w:tblPrEx>
        <w:trPr>
          <w:trHeight w:val="306" w:hRule="atLeast"/>
          <w:jc w:val="center"/>
        </w:trPr>
        <w:tc>
          <w:tcPr>
            <w:tcW w:w="4606"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r>
              <w:rPr>
                <w:rFonts w:hint="eastAsia" w:ascii="宋体" w:hAnsi="宋体"/>
                <w:color w:val="000000"/>
                <w:kern w:val="0"/>
                <w:sz w:val="20"/>
                <w:szCs w:val="20"/>
                <w:lang w:val="en-US" w:eastAsia="zh-CN"/>
              </w:rPr>
              <w:t>部门：中国共产主义青年团张家口市委员会</w:t>
            </w:r>
          </w:p>
        </w:tc>
        <w:tc>
          <w:tcPr>
            <w:tcW w:w="4814"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color w:val="000000"/>
                <w:sz w:val="18"/>
                <w:szCs w:val="18"/>
              </w:rPr>
            </w:pPr>
            <w:r>
              <w:rPr>
                <w:rFonts w:hint="eastAsia" w:ascii="宋体" w:hAnsi="宋体"/>
                <w:color w:val="000000"/>
                <w:kern w:val="0"/>
                <w:sz w:val="18"/>
                <w:szCs w:val="18"/>
              </w:rPr>
              <w:t>金额单位：万元</w:t>
            </w:r>
          </w:p>
        </w:tc>
      </w:tr>
      <w:tr>
        <w:tblPrEx>
          <w:tblCellMar>
            <w:top w:w="0" w:type="dxa"/>
            <w:left w:w="0" w:type="dxa"/>
            <w:bottom w:w="0" w:type="dxa"/>
            <w:right w:w="0" w:type="dxa"/>
          </w:tblCellMar>
        </w:tblPrEx>
        <w:trPr>
          <w:trHeight w:val="221" w:hRule="atLeast"/>
          <w:jc w:val="center"/>
        </w:trPr>
        <w:tc>
          <w:tcPr>
            <w:tcW w:w="46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收入</w:t>
            </w:r>
          </w:p>
        </w:tc>
        <w:tc>
          <w:tcPr>
            <w:tcW w:w="4814"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ascii="宋体" w:hAnsi="宋体"/>
                <w:color w:val="000000"/>
                <w:szCs w:val="21"/>
              </w:rPr>
              <w:t>支出</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项目</w:t>
            </w: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行次</w:t>
            </w:r>
          </w:p>
        </w:tc>
        <w:tc>
          <w:tcPr>
            <w:tcW w:w="6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金额</w:t>
            </w:r>
          </w:p>
        </w:tc>
        <w:tc>
          <w:tcPr>
            <w:tcW w:w="3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项目</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行次</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金额</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栏次</w:t>
            </w: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p>
        </w:tc>
        <w:tc>
          <w:tcPr>
            <w:tcW w:w="6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1</w:t>
            </w:r>
          </w:p>
        </w:tc>
        <w:tc>
          <w:tcPr>
            <w:tcW w:w="3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栏次</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2</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r>
              <w:rPr>
                <w:rFonts w:hint="eastAsia"/>
              </w:rPr>
              <w:t>一、一般公共预算财政拨款收入</w:t>
            </w: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1</w:t>
            </w:r>
          </w:p>
        </w:tc>
        <w:tc>
          <w:tcPr>
            <w:tcW w:w="6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olor w:val="000000"/>
                <w:szCs w:val="21"/>
                <w:lang w:val="en-US" w:eastAsia="zh-CN"/>
              </w:rPr>
            </w:pPr>
            <w:r>
              <w:rPr>
                <w:rFonts w:hint="eastAsia" w:ascii="宋体" w:hAnsi="宋体"/>
                <w:color w:val="000000"/>
                <w:szCs w:val="21"/>
                <w:lang w:val="en-US" w:eastAsia="zh-CN"/>
              </w:rPr>
              <w:t>569.10</w:t>
            </w:r>
          </w:p>
        </w:tc>
        <w:tc>
          <w:tcPr>
            <w:tcW w:w="3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r>
              <w:rPr>
                <w:rFonts w:hint="eastAsia"/>
              </w:rPr>
              <w:t>一、一般公共服务支出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32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olor w:val="000000"/>
                <w:szCs w:val="21"/>
                <w:lang w:val="en-US" w:eastAsia="zh-CN"/>
              </w:rPr>
            </w:pPr>
            <w:r>
              <w:rPr>
                <w:rFonts w:hint="eastAsia" w:ascii="宋体" w:hAnsi="宋体"/>
                <w:color w:val="000000"/>
                <w:szCs w:val="21"/>
                <w:lang w:val="en-US" w:eastAsia="zh-CN"/>
              </w:rPr>
              <w:t>479.53</w:t>
            </w:r>
          </w:p>
        </w:tc>
      </w:tr>
      <w:tr>
        <w:tblPrEx>
          <w:tblCellMar>
            <w:top w:w="0" w:type="dxa"/>
            <w:left w:w="0" w:type="dxa"/>
            <w:bottom w:w="0" w:type="dxa"/>
            <w:right w:w="0" w:type="dxa"/>
          </w:tblCellMar>
        </w:tblPrEx>
        <w:trPr>
          <w:trHeight w:val="353"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r>
              <w:rPr>
                <w:rFonts w:hint="eastAsia"/>
              </w:rPr>
              <w:t>二、政府性基金预算财政拨款收入</w:t>
            </w: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2</w:t>
            </w:r>
          </w:p>
        </w:tc>
        <w:tc>
          <w:tcPr>
            <w:tcW w:w="6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p>
        </w:tc>
        <w:tc>
          <w:tcPr>
            <w:tcW w:w="3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r>
              <w:rPr>
                <w:rFonts w:hint="eastAsia"/>
              </w:rPr>
              <w:t>二、外交支出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33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r>
              <w:rPr>
                <w:rFonts w:hint="eastAsia"/>
              </w:rPr>
              <w:t>三、国有资本经营预算财政拨款收入</w:t>
            </w: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3</w:t>
            </w:r>
          </w:p>
        </w:tc>
        <w:tc>
          <w:tcPr>
            <w:tcW w:w="6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p>
        </w:tc>
        <w:tc>
          <w:tcPr>
            <w:tcW w:w="3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r>
              <w:rPr>
                <w:rFonts w:hint="eastAsia"/>
              </w:rPr>
              <w:t>三、国防支出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34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r>
              <w:rPr>
                <w:rFonts w:hint="eastAsia"/>
              </w:rPr>
              <w:t>四、上级补助收入</w:t>
            </w: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4</w:t>
            </w:r>
          </w:p>
        </w:tc>
        <w:tc>
          <w:tcPr>
            <w:tcW w:w="6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p>
        </w:tc>
        <w:tc>
          <w:tcPr>
            <w:tcW w:w="3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r>
              <w:rPr>
                <w:rFonts w:hint="eastAsia"/>
              </w:rPr>
              <w:t>四、公共安全支出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35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olor w:val="000000"/>
                <w:szCs w:val="21"/>
                <w:lang w:val="en-US" w:eastAsia="zh-CN"/>
              </w:rPr>
            </w:pPr>
            <w:r>
              <w:rPr>
                <w:rFonts w:hint="eastAsia" w:ascii="宋体" w:hAnsi="宋体"/>
                <w:color w:val="000000"/>
                <w:szCs w:val="21"/>
                <w:lang w:val="en-US" w:eastAsia="zh-CN"/>
              </w:rPr>
              <w:t>8.15</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r>
              <w:rPr>
                <w:rFonts w:hint="eastAsia"/>
              </w:rPr>
              <w:t>五、事业收入</w:t>
            </w: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5</w:t>
            </w:r>
          </w:p>
        </w:tc>
        <w:tc>
          <w:tcPr>
            <w:tcW w:w="6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p>
        </w:tc>
        <w:tc>
          <w:tcPr>
            <w:tcW w:w="3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r>
              <w:rPr>
                <w:rFonts w:hint="eastAsia"/>
              </w:rPr>
              <w:t>五、教育支出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36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r>
              <w:rPr>
                <w:rFonts w:hint="eastAsia"/>
              </w:rPr>
              <w:t>六、经营收入</w:t>
            </w: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6</w:t>
            </w:r>
          </w:p>
        </w:tc>
        <w:tc>
          <w:tcPr>
            <w:tcW w:w="6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p>
        </w:tc>
        <w:tc>
          <w:tcPr>
            <w:tcW w:w="3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r>
              <w:rPr>
                <w:rFonts w:hint="eastAsia"/>
              </w:rPr>
              <w:t>六、科学技术支出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37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r>
              <w:rPr>
                <w:rFonts w:hint="eastAsia"/>
              </w:rPr>
              <w:t>七、附属单位上缴收入</w:t>
            </w: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7</w:t>
            </w:r>
          </w:p>
        </w:tc>
        <w:tc>
          <w:tcPr>
            <w:tcW w:w="6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p>
        </w:tc>
        <w:tc>
          <w:tcPr>
            <w:tcW w:w="3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r>
              <w:rPr>
                <w:rFonts w:hint="eastAsia"/>
              </w:rPr>
              <w:t>七、文化旅游体育与传媒支出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38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r>
              <w:rPr>
                <w:rFonts w:hint="eastAsia"/>
              </w:rPr>
              <w:t>八、其他收入</w:t>
            </w: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8</w:t>
            </w:r>
          </w:p>
        </w:tc>
        <w:tc>
          <w:tcPr>
            <w:tcW w:w="6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p>
        </w:tc>
        <w:tc>
          <w:tcPr>
            <w:tcW w:w="3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r>
              <w:rPr>
                <w:rFonts w:hint="eastAsia"/>
              </w:rPr>
              <w:t>八、社会保障和就业支出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39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olor w:val="000000"/>
                <w:szCs w:val="21"/>
                <w:lang w:val="en-US" w:eastAsia="zh-CN"/>
              </w:rPr>
            </w:pPr>
            <w:r>
              <w:rPr>
                <w:rFonts w:hint="eastAsia" w:ascii="宋体" w:hAnsi="宋体"/>
                <w:color w:val="000000"/>
                <w:szCs w:val="21"/>
                <w:lang w:val="en-US" w:eastAsia="zh-CN"/>
              </w:rPr>
              <w:t>45.78</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9</w:t>
            </w:r>
          </w:p>
        </w:tc>
        <w:tc>
          <w:tcPr>
            <w:tcW w:w="6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p>
        </w:tc>
        <w:tc>
          <w:tcPr>
            <w:tcW w:w="3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r>
              <w:rPr>
                <w:rFonts w:hint="eastAsia"/>
              </w:rPr>
              <w:t>九、卫生健康支出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40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olor w:val="000000"/>
                <w:szCs w:val="21"/>
                <w:lang w:val="en-US" w:eastAsia="zh-CN"/>
              </w:rPr>
            </w:pPr>
            <w:r>
              <w:rPr>
                <w:rFonts w:hint="eastAsia" w:ascii="宋体" w:hAnsi="宋体"/>
                <w:color w:val="000000"/>
                <w:szCs w:val="21"/>
                <w:lang w:val="en-US" w:eastAsia="zh-CN"/>
              </w:rPr>
              <w:t>28.08</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10</w:t>
            </w:r>
          </w:p>
        </w:tc>
        <w:tc>
          <w:tcPr>
            <w:tcW w:w="6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p>
        </w:tc>
        <w:tc>
          <w:tcPr>
            <w:tcW w:w="3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r>
              <w:rPr>
                <w:rFonts w:hint="eastAsia"/>
              </w:rPr>
              <w:t>十、节能环保支出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41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11</w:t>
            </w:r>
          </w:p>
        </w:tc>
        <w:tc>
          <w:tcPr>
            <w:tcW w:w="6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p>
        </w:tc>
        <w:tc>
          <w:tcPr>
            <w:tcW w:w="3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r>
              <w:rPr>
                <w:rFonts w:hint="eastAsia"/>
              </w:rPr>
              <w:t>十一、城乡社区支出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42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12</w:t>
            </w:r>
          </w:p>
        </w:tc>
        <w:tc>
          <w:tcPr>
            <w:tcW w:w="6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p>
        </w:tc>
        <w:tc>
          <w:tcPr>
            <w:tcW w:w="3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r>
              <w:rPr>
                <w:rFonts w:hint="eastAsia"/>
              </w:rPr>
              <w:t>十二、农林水支出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43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13</w:t>
            </w:r>
          </w:p>
        </w:tc>
        <w:tc>
          <w:tcPr>
            <w:tcW w:w="6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p>
        </w:tc>
        <w:tc>
          <w:tcPr>
            <w:tcW w:w="3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r>
              <w:rPr>
                <w:rFonts w:hint="eastAsia"/>
              </w:rPr>
              <w:t>十三、交通运输支出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44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14</w:t>
            </w:r>
          </w:p>
        </w:tc>
        <w:tc>
          <w:tcPr>
            <w:tcW w:w="6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p>
        </w:tc>
        <w:tc>
          <w:tcPr>
            <w:tcW w:w="3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r>
              <w:rPr>
                <w:rFonts w:hint="eastAsia"/>
              </w:rPr>
              <w:t>十四、资源勘探工业信息等支出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45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15</w:t>
            </w:r>
          </w:p>
        </w:tc>
        <w:tc>
          <w:tcPr>
            <w:tcW w:w="6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p>
        </w:tc>
        <w:tc>
          <w:tcPr>
            <w:tcW w:w="3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r>
              <w:rPr>
                <w:rFonts w:hint="eastAsia"/>
              </w:rPr>
              <w:t>十五、商业服务业等支出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46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16</w:t>
            </w:r>
          </w:p>
        </w:tc>
        <w:tc>
          <w:tcPr>
            <w:tcW w:w="6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p>
        </w:tc>
        <w:tc>
          <w:tcPr>
            <w:tcW w:w="3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r>
              <w:rPr>
                <w:rFonts w:hint="eastAsia"/>
              </w:rPr>
              <w:t>十六、金融支出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47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17</w:t>
            </w:r>
          </w:p>
        </w:tc>
        <w:tc>
          <w:tcPr>
            <w:tcW w:w="6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p>
        </w:tc>
        <w:tc>
          <w:tcPr>
            <w:tcW w:w="3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r>
              <w:rPr>
                <w:rFonts w:hint="eastAsia"/>
              </w:rPr>
              <w:t>十七、援助其他地区支出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48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18</w:t>
            </w:r>
          </w:p>
        </w:tc>
        <w:tc>
          <w:tcPr>
            <w:tcW w:w="6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p>
        </w:tc>
        <w:tc>
          <w:tcPr>
            <w:tcW w:w="3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r>
              <w:rPr>
                <w:rFonts w:hint="eastAsia"/>
              </w:rPr>
              <w:t>十八、自然资源海洋气象等支出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49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19</w:t>
            </w:r>
          </w:p>
        </w:tc>
        <w:tc>
          <w:tcPr>
            <w:tcW w:w="6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p>
        </w:tc>
        <w:tc>
          <w:tcPr>
            <w:tcW w:w="3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r>
              <w:rPr>
                <w:rFonts w:hint="eastAsia"/>
              </w:rPr>
              <w:t>十九、住房保障支出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50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olor w:val="000000"/>
                <w:szCs w:val="21"/>
                <w:lang w:val="en-US" w:eastAsia="zh-CN"/>
              </w:rPr>
            </w:pPr>
            <w:r>
              <w:rPr>
                <w:rFonts w:hint="eastAsia" w:ascii="宋体" w:hAnsi="宋体"/>
                <w:color w:val="000000"/>
                <w:szCs w:val="21"/>
                <w:lang w:val="en-US" w:eastAsia="zh-CN"/>
              </w:rPr>
              <w:t>27.86</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20</w:t>
            </w:r>
          </w:p>
        </w:tc>
        <w:tc>
          <w:tcPr>
            <w:tcW w:w="6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p>
        </w:tc>
        <w:tc>
          <w:tcPr>
            <w:tcW w:w="3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r>
              <w:rPr>
                <w:rFonts w:hint="eastAsia"/>
              </w:rPr>
              <w:t>二十、粮油物资储备支出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51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21</w:t>
            </w:r>
          </w:p>
        </w:tc>
        <w:tc>
          <w:tcPr>
            <w:tcW w:w="6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p>
        </w:tc>
        <w:tc>
          <w:tcPr>
            <w:tcW w:w="3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r>
              <w:rPr>
                <w:rFonts w:hint="eastAsia"/>
              </w:rPr>
              <w:t>二十一、国有资本经营预算支出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52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kern w:val="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kern w:val="0"/>
                <w:szCs w:val="21"/>
              </w:rPr>
            </w:pPr>
            <w:r>
              <w:rPr>
                <w:rFonts w:hint="eastAsia"/>
              </w:rPr>
              <w:t>22</w:t>
            </w:r>
          </w:p>
        </w:tc>
        <w:tc>
          <w:tcPr>
            <w:tcW w:w="6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kern w:val="0"/>
                <w:szCs w:val="21"/>
              </w:rPr>
            </w:pPr>
          </w:p>
        </w:tc>
        <w:tc>
          <w:tcPr>
            <w:tcW w:w="3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kern w:val="0"/>
                <w:szCs w:val="21"/>
              </w:rPr>
            </w:pPr>
            <w:r>
              <w:rPr>
                <w:rFonts w:hint="eastAsia"/>
              </w:rPr>
              <w:t>二十二、灾害防治及应急管理支出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kern w:val="0"/>
                <w:szCs w:val="21"/>
              </w:rPr>
            </w:pPr>
            <w:r>
              <w:rPr>
                <w:rFonts w:hint="eastAsia"/>
              </w:rPr>
              <w:t>53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kern w:val="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23</w:t>
            </w:r>
          </w:p>
        </w:tc>
        <w:tc>
          <w:tcPr>
            <w:tcW w:w="6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p>
        </w:tc>
        <w:tc>
          <w:tcPr>
            <w:tcW w:w="3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r>
              <w:rPr>
                <w:rFonts w:hint="eastAsia"/>
              </w:rPr>
              <w:t>二十三、其他支出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54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24</w:t>
            </w:r>
          </w:p>
        </w:tc>
        <w:tc>
          <w:tcPr>
            <w:tcW w:w="6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p>
        </w:tc>
        <w:tc>
          <w:tcPr>
            <w:tcW w:w="3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r>
              <w:rPr>
                <w:rFonts w:hint="eastAsia"/>
              </w:rPr>
              <w:t>二十四、债务还本支出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55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b/>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25</w:t>
            </w:r>
          </w:p>
        </w:tc>
        <w:tc>
          <w:tcPr>
            <w:tcW w:w="6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p>
        </w:tc>
        <w:tc>
          <w:tcPr>
            <w:tcW w:w="3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b/>
                <w:color w:val="000000"/>
                <w:szCs w:val="21"/>
              </w:rPr>
            </w:pPr>
            <w:r>
              <w:rPr>
                <w:rFonts w:hint="eastAsia"/>
              </w:rPr>
              <w:t>二十五、债务付息支出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56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26</w:t>
            </w:r>
          </w:p>
        </w:tc>
        <w:tc>
          <w:tcPr>
            <w:tcW w:w="6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p>
        </w:tc>
        <w:tc>
          <w:tcPr>
            <w:tcW w:w="3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r>
              <w:rPr>
                <w:rFonts w:hint="eastAsia"/>
              </w:rPr>
              <w:t>二十六、抗疫特别国债安排的支出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57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本年收入合计</w:t>
            </w: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27</w:t>
            </w:r>
          </w:p>
        </w:tc>
        <w:tc>
          <w:tcPr>
            <w:tcW w:w="6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olor w:val="000000"/>
                <w:szCs w:val="21"/>
                <w:lang w:val="en-US" w:eastAsia="zh-CN"/>
              </w:rPr>
            </w:pPr>
            <w:r>
              <w:rPr>
                <w:rFonts w:hint="eastAsia" w:ascii="宋体" w:hAnsi="宋体"/>
                <w:color w:val="000000"/>
                <w:szCs w:val="21"/>
                <w:lang w:val="en-US" w:eastAsia="zh-CN"/>
              </w:rPr>
              <w:t>569.10</w:t>
            </w:r>
          </w:p>
        </w:tc>
        <w:tc>
          <w:tcPr>
            <w:tcW w:w="3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本年支出合计</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58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r>
              <w:rPr>
                <w:rFonts w:hint="eastAsia"/>
              </w:rPr>
              <w:t>使用非财政拨款结余</w:t>
            </w: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28</w:t>
            </w:r>
          </w:p>
        </w:tc>
        <w:tc>
          <w:tcPr>
            <w:tcW w:w="6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p>
        </w:tc>
        <w:tc>
          <w:tcPr>
            <w:tcW w:w="3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r>
              <w:rPr>
                <w:rFonts w:hint="eastAsia"/>
              </w:rPr>
              <w:t>结余分配</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59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b/>
                <w:color w:val="000000"/>
                <w:szCs w:val="21"/>
              </w:rPr>
            </w:pPr>
            <w:r>
              <w:rPr>
                <w:rFonts w:hint="eastAsia"/>
              </w:rPr>
              <w:t>年初结转和结余</w:t>
            </w:r>
          </w:p>
        </w:tc>
        <w:tc>
          <w:tcPr>
            <w:tcW w:w="508"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29</w:t>
            </w:r>
          </w:p>
        </w:tc>
        <w:tc>
          <w:tcPr>
            <w:tcW w:w="68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olor w:val="000000"/>
                <w:szCs w:val="21"/>
                <w:lang w:val="en-US" w:eastAsia="zh-CN"/>
              </w:rPr>
            </w:pPr>
            <w:r>
              <w:rPr>
                <w:rFonts w:hint="eastAsia" w:ascii="宋体" w:hAnsi="宋体"/>
                <w:color w:val="000000"/>
                <w:szCs w:val="21"/>
                <w:lang w:val="en-US" w:eastAsia="zh-CN"/>
              </w:rPr>
              <w:t>20.30</w:t>
            </w:r>
          </w:p>
        </w:tc>
        <w:tc>
          <w:tcPr>
            <w:tcW w:w="3436"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b/>
                <w:color w:val="000000"/>
                <w:szCs w:val="21"/>
              </w:rPr>
            </w:pPr>
            <w:r>
              <w:rPr>
                <w:rFonts w:hint="eastAsia"/>
              </w:rPr>
              <w:t>年末结转和结余</w:t>
            </w:r>
          </w:p>
        </w:tc>
        <w:tc>
          <w:tcPr>
            <w:tcW w:w="534"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60</w:t>
            </w:r>
          </w:p>
        </w:tc>
        <w:tc>
          <w:tcPr>
            <w:tcW w:w="844"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pPr>
          </w:p>
        </w:tc>
        <w:tc>
          <w:tcPr>
            <w:tcW w:w="5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pPr>
            <w:r>
              <w:rPr>
                <w:rFonts w:hint="eastAsia"/>
              </w:rPr>
              <w:t>30</w:t>
            </w:r>
          </w:p>
        </w:tc>
        <w:tc>
          <w:tcPr>
            <w:tcW w:w="6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p>
        </w:tc>
        <w:tc>
          <w:tcPr>
            <w:tcW w:w="34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pPr>
          </w:p>
        </w:tc>
        <w:tc>
          <w:tcPr>
            <w:tcW w:w="5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pPr>
            <w:r>
              <w:rPr>
                <w:rFonts w:hint="eastAsia"/>
              </w:rPr>
              <w:t>61</w:t>
            </w:r>
          </w:p>
        </w:tc>
        <w:tc>
          <w:tcPr>
            <w:tcW w:w="8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pPr>
            <w:r>
              <w:rPr>
                <w:rFonts w:hint="eastAsia"/>
              </w:rPr>
              <w:t>总计</w:t>
            </w:r>
          </w:p>
        </w:tc>
        <w:tc>
          <w:tcPr>
            <w:tcW w:w="5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pPr>
            <w:r>
              <w:rPr>
                <w:rFonts w:hint="eastAsia"/>
              </w:rPr>
              <w:t>31</w:t>
            </w:r>
          </w:p>
        </w:tc>
        <w:tc>
          <w:tcPr>
            <w:tcW w:w="6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olor w:val="000000"/>
                <w:szCs w:val="21"/>
                <w:lang w:val="en-US" w:eastAsia="zh-CN"/>
              </w:rPr>
            </w:pPr>
            <w:r>
              <w:rPr>
                <w:rFonts w:hint="eastAsia" w:ascii="宋体" w:hAnsi="宋体"/>
                <w:color w:val="000000"/>
                <w:szCs w:val="21"/>
                <w:lang w:val="en-US" w:eastAsia="zh-CN"/>
              </w:rPr>
              <w:t>589.40</w:t>
            </w:r>
          </w:p>
        </w:tc>
        <w:tc>
          <w:tcPr>
            <w:tcW w:w="34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pPr>
            <w:r>
              <w:rPr>
                <w:rFonts w:hint="eastAsia"/>
              </w:rPr>
              <w:t>总计</w:t>
            </w:r>
          </w:p>
        </w:tc>
        <w:tc>
          <w:tcPr>
            <w:tcW w:w="5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pPr>
            <w:r>
              <w:rPr>
                <w:rFonts w:hint="eastAsia"/>
              </w:rPr>
              <w:t>62</w:t>
            </w:r>
          </w:p>
        </w:tc>
        <w:tc>
          <w:tcPr>
            <w:tcW w:w="8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olor w:val="000000"/>
                <w:szCs w:val="21"/>
                <w:lang w:val="en-US" w:eastAsia="zh-CN"/>
              </w:rPr>
            </w:pPr>
            <w:r>
              <w:rPr>
                <w:rFonts w:hint="eastAsia" w:ascii="宋体" w:hAnsi="宋体"/>
                <w:color w:val="000000"/>
                <w:szCs w:val="21"/>
                <w:lang w:val="en-US" w:eastAsia="zh-CN"/>
              </w:rPr>
              <w:t>589.40</w:t>
            </w:r>
          </w:p>
        </w:tc>
      </w:tr>
      <w:tr>
        <w:tblPrEx>
          <w:tblCellMar>
            <w:top w:w="0" w:type="dxa"/>
            <w:left w:w="0" w:type="dxa"/>
            <w:bottom w:w="0" w:type="dxa"/>
            <w:right w:w="0" w:type="dxa"/>
          </w:tblCellMar>
        </w:tblPrEx>
        <w:trPr>
          <w:trHeight w:val="306" w:hRule="atLeast"/>
          <w:jc w:val="center"/>
        </w:trPr>
        <w:tc>
          <w:tcPr>
            <w:tcW w:w="9420" w:type="dxa"/>
            <w:gridSpan w:val="6"/>
            <w:tcBorders>
              <w:top w:val="single" w:color="auto" w:sz="4" w:space="0"/>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color w:val="000000"/>
                <w:kern w:val="0"/>
                <w:sz w:val="20"/>
                <w:szCs w:val="20"/>
              </w:rPr>
            </w:pPr>
            <w:r>
              <w:rPr>
                <w:rFonts w:hint="eastAsia"/>
                <w:sz w:val="20"/>
                <w:szCs w:val="20"/>
              </w:rPr>
              <w:t>注：本表反映部门本年度的总收支和年末结转结余情况。本套报表金额单位转换时可能存在尾数误差。</w:t>
            </w:r>
          </w:p>
        </w:tc>
      </w:tr>
    </w:tbl>
    <w:p>
      <w:pPr>
        <w:widowControl/>
        <w:jc w:val="left"/>
        <w:textAlignment w:val="center"/>
        <w:rPr>
          <w:sz w:val="20"/>
          <w:szCs w:val="20"/>
        </w:rPr>
      </w:pPr>
      <w:r>
        <w:rPr>
          <w:rFonts w:hint="eastAsia"/>
          <w:sz w:val="20"/>
          <w:szCs w:val="20"/>
        </w:rPr>
        <w:br w:type="page"/>
      </w:r>
    </w:p>
    <w:tbl>
      <w:tblPr>
        <w:tblStyle w:val="8"/>
        <w:tblW w:w="9840" w:type="dxa"/>
        <w:jc w:val="center"/>
        <w:tblLayout w:type="autofit"/>
        <w:tblCellMar>
          <w:top w:w="0" w:type="dxa"/>
          <w:left w:w="0" w:type="dxa"/>
          <w:bottom w:w="0" w:type="dxa"/>
          <w:right w:w="0" w:type="dxa"/>
        </w:tblCellMar>
      </w:tblPr>
      <w:tblGrid>
        <w:gridCol w:w="800"/>
        <w:gridCol w:w="46"/>
        <w:gridCol w:w="46"/>
        <w:gridCol w:w="4509"/>
        <w:gridCol w:w="696"/>
        <w:gridCol w:w="1087"/>
        <w:gridCol w:w="532"/>
        <w:gridCol w:w="532"/>
        <w:gridCol w:w="532"/>
        <w:gridCol w:w="532"/>
        <w:gridCol w:w="534"/>
      </w:tblGrid>
      <w:tr>
        <w:tblPrEx>
          <w:tblCellMar>
            <w:top w:w="0" w:type="dxa"/>
            <w:left w:w="0" w:type="dxa"/>
            <w:bottom w:w="0" w:type="dxa"/>
            <w:right w:w="0" w:type="dxa"/>
          </w:tblCellMar>
        </w:tblPrEx>
        <w:trPr>
          <w:trHeight w:val="670" w:hRule="atLeast"/>
          <w:jc w:val="center"/>
        </w:trPr>
        <w:tc>
          <w:tcPr>
            <w:tcW w:w="9840" w:type="dxa"/>
            <w:gridSpan w:val="11"/>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黑体" w:hAnsi="宋体" w:eastAsia="黑体" w:cs="黑体"/>
                <w:color w:val="000000"/>
                <w:sz w:val="32"/>
                <w:szCs w:val="32"/>
              </w:rPr>
            </w:pPr>
            <w:r>
              <w:rPr>
                <w:rFonts w:hint="eastAsia" w:ascii="黑体" w:hAnsi="宋体" w:eastAsia="黑体" w:cs="黑体"/>
                <w:color w:val="000000"/>
                <w:kern w:val="0"/>
                <w:sz w:val="32"/>
                <w:szCs w:val="32"/>
              </w:rPr>
              <w:t>收入决算表</w:t>
            </w:r>
          </w:p>
        </w:tc>
      </w:tr>
      <w:tr>
        <w:tblPrEx>
          <w:tblCellMar>
            <w:top w:w="0" w:type="dxa"/>
            <w:left w:w="0" w:type="dxa"/>
            <w:bottom w:w="0" w:type="dxa"/>
            <w:right w:w="0" w:type="dxa"/>
          </w:tblCellMar>
        </w:tblPrEx>
        <w:trPr>
          <w:trHeight w:val="357" w:hRule="atLeast"/>
          <w:jc w:val="center"/>
        </w:trPr>
        <w:tc>
          <w:tcPr>
            <w:tcW w:w="80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50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9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08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3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3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3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066"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color w:val="000000"/>
                <w:sz w:val="20"/>
                <w:szCs w:val="20"/>
              </w:rPr>
            </w:pPr>
            <w:r>
              <w:rPr>
                <w:rFonts w:hint="eastAsia" w:ascii="宋体" w:hAnsi="宋体"/>
                <w:color w:val="000000"/>
                <w:kern w:val="0"/>
                <w:sz w:val="20"/>
                <w:szCs w:val="20"/>
              </w:rPr>
              <w:t>公开02表</w:t>
            </w:r>
          </w:p>
        </w:tc>
      </w:tr>
      <w:tr>
        <w:tblPrEx>
          <w:tblCellMar>
            <w:top w:w="0" w:type="dxa"/>
            <w:left w:w="0" w:type="dxa"/>
            <w:bottom w:w="0" w:type="dxa"/>
            <w:right w:w="0" w:type="dxa"/>
          </w:tblCellMar>
        </w:tblPrEx>
        <w:trPr>
          <w:trHeight w:val="357" w:hRule="atLeast"/>
          <w:jc w:val="center"/>
        </w:trPr>
        <w:tc>
          <w:tcPr>
            <w:tcW w:w="5401" w:type="dxa"/>
            <w:gridSpan w:val="4"/>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r>
              <w:rPr>
                <w:rFonts w:hint="eastAsia" w:ascii="宋体" w:hAnsi="宋体"/>
                <w:color w:val="000000"/>
                <w:kern w:val="0"/>
                <w:sz w:val="20"/>
                <w:szCs w:val="20"/>
              </w:rPr>
              <w:t>部门：</w:t>
            </w:r>
            <w:r>
              <w:rPr>
                <w:rFonts w:hint="eastAsia" w:ascii="宋体" w:hAnsi="宋体"/>
                <w:color w:val="000000"/>
                <w:kern w:val="0"/>
                <w:sz w:val="20"/>
                <w:szCs w:val="20"/>
                <w:lang w:val="en-US" w:eastAsia="zh-CN"/>
              </w:rPr>
              <w:t>中国共产主义青年团张家口市委员会</w:t>
            </w:r>
          </w:p>
        </w:tc>
        <w:tc>
          <w:tcPr>
            <w:tcW w:w="69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08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3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3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98"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color w:val="000000"/>
                <w:sz w:val="20"/>
                <w:szCs w:val="20"/>
              </w:rPr>
            </w:pPr>
            <w:r>
              <w:rPr>
                <w:rFonts w:hint="eastAsia" w:ascii="宋体" w:hAnsi="宋体"/>
                <w:color w:val="000000"/>
                <w:kern w:val="0"/>
                <w:sz w:val="20"/>
                <w:szCs w:val="20"/>
              </w:rPr>
              <w:t>金额单位：万元</w:t>
            </w:r>
          </w:p>
        </w:tc>
      </w:tr>
      <w:tr>
        <w:tblPrEx>
          <w:tblCellMar>
            <w:top w:w="0" w:type="dxa"/>
            <w:left w:w="0" w:type="dxa"/>
            <w:bottom w:w="0" w:type="dxa"/>
            <w:right w:w="0" w:type="dxa"/>
          </w:tblCellMar>
        </w:tblPrEx>
        <w:trPr>
          <w:trHeight w:val="385" w:hRule="atLeast"/>
          <w:jc w:val="center"/>
        </w:trPr>
        <w:tc>
          <w:tcPr>
            <w:tcW w:w="540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项目</w:t>
            </w:r>
          </w:p>
        </w:tc>
        <w:tc>
          <w:tcPr>
            <w:tcW w:w="69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本年收入合计</w:t>
            </w:r>
          </w:p>
        </w:tc>
        <w:tc>
          <w:tcPr>
            <w:tcW w:w="108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财政拨款收入</w:t>
            </w:r>
          </w:p>
        </w:tc>
        <w:tc>
          <w:tcPr>
            <w:tcW w:w="53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上级补助收入</w:t>
            </w:r>
          </w:p>
        </w:tc>
        <w:tc>
          <w:tcPr>
            <w:tcW w:w="53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事业收入</w:t>
            </w:r>
          </w:p>
        </w:tc>
        <w:tc>
          <w:tcPr>
            <w:tcW w:w="53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经营收入</w:t>
            </w:r>
          </w:p>
        </w:tc>
        <w:tc>
          <w:tcPr>
            <w:tcW w:w="53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附属单位上缴收入</w:t>
            </w:r>
          </w:p>
        </w:tc>
        <w:tc>
          <w:tcPr>
            <w:tcW w:w="53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其他收入</w:t>
            </w:r>
          </w:p>
        </w:tc>
      </w:tr>
      <w:tr>
        <w:tblPrEx>
          <w:tblCellMar>
            <w:top w:w="0" w:type="dxa"/>
            <w:left w:w="0" w:type="dxa"/>
            <w:bottom w:w="0" w:type="dxa"/>
            <w:right w:w="0" w:type="dxa"/>
          </w:tblCellMar>
        </w:tblPrEx>
        <w:trPr>
          <w:trHeight w:val="380" w:hRule="atLeast"/>
          <w:jc w:val="center"/>
        </w:trPr>
        <w:tc>
          <w:tcPr>
            <w:tcW w:w="892"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功能分类科目编码</w:t>
            </w:r>
          </w:p>
        </w:tc>
        <w:tc>
          <w:tcPr>
            <w:tcW w:w="4509"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科目名称</w:t>
            </w:r>
          </w:p>
        </w:tc>
        <w:tc>
          <w:tcPr>
            <w:tcW w:w="69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08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53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53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53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53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53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r>
      <w:tr>
        <w:tblPrEx>
          <w:tblCellMar>
            <w:top w:w="0" w:type="dxa"/>
            <w:left w:w="0" w:type="dxa"/>
            <w:bottom w:w="0" w:type="dxa"/>
            <w:right w:w="0" w:type="dxa"/>
          </w:tblCellMar>
        </w:tblPrEx>
        <w:trPr>
          <w:trHeight w:val="380" w:hRule="atLeast"/>
          <w:jc w:val="center"/>
        </w:trPr>
        <w:tc>
          <w:tcPr>
            <w:tcW w:w="89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450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69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08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53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53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53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53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53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r>
      <w:tr>
        <w:tblPrEx>
          <w:tblCellMar>
            <w:top w:w="0" w:type="dxa"/>
            <w:left w:w="0" w:type="dxa"/>
            <w:bottom w:w="0" w:type="dxa"/>
            <w:right w:w="0" w:type="dxa"/>
          </w:tblCellMar>
        </w:tblPrEx>
        <w:trPr>
          <w:trHeight w:val="380" w:hRule="atLeast"/>
          <w:jc w:val="center"/>
        </w:trPr>
        <w:tc>
          <w:tcPr>
            <w:tcW w:w="89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450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69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08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53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53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53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53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53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r>
      <w:tr>
        <w:tblPrEx>
          <w:tblCellMar>
            <w:top w:w="0" w:type="dxa"/>
            <w:left w:w="0" w:type="dxa"/>
            <w:bottom w:w="0" w:type="dxa"/>
            <w:right w:w="0" w:type="dxa"/>
          </w:tblCellMar>
        </w:tblPrEx>
        <w:trPr>
          <w:trHeight w:val="385" w:hRule="atLeast"/>
          <w:jc w:val="center"/>
        </w:trPr>
        <w:tc>
          <w:tcPr>
            <w:tcW w:w="5401"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栏次</w:t>
            </w:r>
          </w:p>
        </w:tc>
        <w:tc>
          <w:tcPr>
            <w:tcW w:w="6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1</w:t>
            </w:r>
          </w:p>
        </w:tc>
        <w:tc>
          <w:tcPr>
            <w:tcW w:w="10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2</w:t>
            </w:r>
          </w:p>
        </w:tc>
        <w:tc>
          <w:tcPr>
            <w:tcW w:w="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3</w:t>
            </w:r>
          </w:p>
        </w:tc>
        <w:tc>
          <w:tcPr>
            <w:tcW w:w="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4</w:t>
            </w:r>
          </w:p>
        </w:tc>
        <w:tc>
          <w:tcPr>
            <w:tcW w:w="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5</w:t>
            </w:r>
          </w:p>
        </w:tc>
        <w:tc>
          <w:tcPr>
            <w:tcW w:w="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6</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7</w:t>
            </w:r>
          </w:p>
        </w:tc>
      </w:tr>
      <w:tr>
        <w:tblPrEx>
          <w:tblCellMar>
            <w:top w:w="0" w:type="dxa"/>
            <w:left w:w="0" w:type="dxa"/>
            <w:bottom w:w="0" w:type="dxa"/>
            <w:right w:w="0" w:type="dxa"/>
          </w:tblCellMar>
        </w:tblPrEx>
        <w:trPr>
          <w:trHeight w:val="385" w:hRule="atLeast"/>
          <w:jc w:val="center"/>
        </w:trPr>
        <w:tc>
          <w:tcPr>
            <w:tcW w:w="5401"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合计</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b/>
                <w:color w:val="000000"/>
                <w:sz w:val="22"/>
                <w:lang w:val="en-US"/>
              </w:rPr>
            </w:pPr>
            <w:r>
              <w:rPr>
                <w:rFonts w:hint="eastAsia" w:ascii="宋体" w:hAnsi="宋体"/>
                <w:b/>
                <w:color w:val="000000"/>
                <w:sz w:val="22"/>
                <w:lang w:val="en-US" w:eastAsia="zh-CN"/>
              </w:rPr>
              <w:t>569.10</w:t>
            </w:r>
          </w:p>
        </w:tc>
        <w:tc>
          <w:tcPr>
            <w:tcW w:w="1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b/>
                <w:color w:val="000000"/>
                <w:sz w:val="22"/>
                <w:lang w:val="en-US" w:eastAsia="zh-CN"/>
              </w:rPr>
            </w:pPr>
            <w:r>
              <w:rPr>
                <w:rFonts w:hint="eastAsia" w:ascii="宋体" w:hAnsi="宋体"/>
                <w:b/>
                <w:color w:val="000000"/>
                <w:sz w:val="22"/>
                <w:lang w:val="en-US" w:eastAsia="zh-CN"/>
              </w:rPr>
              <w:t>569.10</w:t>
            </w: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b/>
                <w:color w:val="000000"/>
                <w:sz w:val="22"/>
              </w:rPr>
            </w:pP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b/>
                <w:color w:val="000000"/>
                <w:sz w:val="22"/>
              </w:rPr>
            </w:pP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b/>
                <w:color w:val="000000"/>
                <w:sz w:val="22"/>
              </w:rPr>
            </w:pP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b/>
                <w:color w:val="000000"/>
                <w:sz w:val="22"/>
              </w:rPr>
            </w:pP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b/>
                <w:color w:val="000000"/>
                <w:sz w:val="22"/>
              </w:rPr>
            </w:pPr>
          </w:p>
        </w:tc>
      </w:tr>
      <w:tr>
        <w:tblPrEx>
          <w:tblCellMar>
            <w:top w:w="0" w:type="dxa"/>
            <w:left w:w="0" w:type="dxa"/>
            <w:bottom w:w="0" w:type="dxa"/>
            <w:right w:w="0" w:type="dxa"/>
          </w:tblCellMar>
        </w:tblPrEx>
        <w:trPr>
          <w:trHeight w:val="385" w:hRule="atLeast"/>
          <w:jc w:val="center"/>
        </w:trPr>
        <w:tc>
          <w:tcPr>
            <w:tcW w:w="89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201</w:t>
            </w:r>
          </w:p>
        </w:tc>
        <w:tc>
          <w:tcPr>
            <w:tcW w:w="45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一般公共服务支出</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r>
              <w:rPr>
                <w:rFonts w:hint="eastAsia" w:ascii="宋体" w:hAnsi="宋体"/>
                <w:color w:val="000000"/>
                <w:sz w:val="22"/>
                <w:lang w:val="en-US" w:eastAsia="zh-CN"/>
              </w:rPr>
              <w:t>469.88</w:t>
            </w:r>
          </w:p>
        </w:tc>
        <w:tc>
          <w:tcPr>
            <w:tcW w:w="1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olor w:val="000000"/>
                <w:sz w:val="22"/>
                <w:lang w:val="en-US" w:eastAsia="zh-CN"/>
              </w:rPr>
            </w:pPr>
            <w:r>
              <w:rPr>
                <w:rFonts w:hint="eastAsia" w:ascii="宋体" w:hAnsi="宋体"/>
                <w:color w:val="000000"/>
                <w:sz w:val="22"/>
                <w:lang w:val="en-US" w:eastAsia="zh-CN"/>
              </w:rPr>
              <w:t>469.88</w:t>
            </w: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85" w:hRule="atLeast"/>
          <w:jc w:val="center"/>
        </w:trPr>
        <w:tc>
          <w:tcPr>
            <w:tcW w:w="89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20129</w:t>
            </w:r>
          </w:p>
        </w:tc>
        <w:tc>
          <w:tcPr>
            <w:tcW w:w="45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群众团体事务</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olor w:val="000000"/>
                <w:sz w:val="22"/>
                <w:lang w:val="en-US" w:eastAsia="zh-CN"/>
              </w:rPr>
            </w:pPr>
            <w:r>
              <w:rPr>
                <w:rFonts w:hint="eastAsia" w:ascii="宋体" w:hAnsi="宋体"/>
                <w:color w:val="000000"/>
                <w:sz w:val="22"/>
                <w:lang w:val="en-US" w:eastAsia="zh-CN"/>
              </w:rPr>
              <w:t>465.52</w:t>
            </w:r>
          </w:p>
        </w:tc>
        <w:tc>
          <w:tcPr>
            <w:tcW w:w="1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olor w:val="000000"/>
                <w:sz w:val="22"/>
                <w:lang w:val="en-US" w:eastAsia="zh-CN"/>
              </w:rPr>
            </w:pPr>
            <w:r>
              <w:rPr>
                <w:rFonts w:hint="eastAsia" w:ascii="宋体" w:hAnsi="宋体"/>
                <w:color w:val="000000"/>
                <w:sz w:val="22"/>
                <w:lang w:val="en-US" w:eastAsia="zh-CN"/>
              </w:rPr>
              <w:t>465.52</w:t>
            </w: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85" w:hRule="atLeast"/>
          <w:jc w:val="center"/>
        </w:trPr>
        <w:tc>
          <w:tcPr>
            <w:tcW w:w="89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2012901</w:t>
            </w:r>
          </w:p>
        </w:tc>
        <w:tc>
          <w:tcPr>
            <w:tcW w:w="45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 xml:space="preserve">  行政运行</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r>
              <w:rPr>
                <w:rFonts w:hint="eastAsia" w:ascii="宋体" w:hAnsi="宋体"/>
                <w:color w:val="000000"/>
                <w:sz w:val="22"/>
                <w:lang w:val="en-US" w:eastAsia="zh-CN"/>
              </w:rPr>
              <w:t>232.97</w:t>
            </w:r>
          </w:p>
        </w:tc>
        <w:tc>
          <w:tcPr>
            <w:tcW w:w="1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olor w:val="000000"/>
                <w:sz w:val="22"/>
                <w:lang w:val="en-US" w:eastAsia="zh-CN"/>
              </w:rPr>
            </w:pPr>
            <w:r>
              <w:rPr>
                <w:rFonts w:hint="eastAsia" w:ascii="宋体" w:hAnsi="宋体"/>
                <w:color w:val="000000"/>
                <w:sz w:val="22"/>
                <w:lang w:val="en-US" w:eastAsia="zh-CN"/>
              </w:rPr>
              <w:t>232.97</w:t>
            </w: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85" w:hRule="atLeast"/>
          <w:jc w:val="center"/>
        </w:trPr>
        <w:tc>
          <w:tcPr>
            <w:tcW w:w="89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2012902</w:t>
            </w:r>
          </w:p>
        </w:tc>
        <w:tc>
          <w:tcPr>
            <w:tcW w:w="45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 xml:space="preserve">  一般行政管理事务</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r>
              <w:rPr>
                <w:rFonts w:hint="eastAsia" w:ascii="宋体" w:hAnsi="宋体"/>
                <w:color w:val="000000"/>
                <w:sz w:val="22"/>
                <w:lang w:val="en-US" w:eastAsia="zh-CN"/>
              </w:rPr>
              <w:t>98.68</w:t>
            </w:r>
          </w:p>
        </w:tc>
        <w:tc>
          <w:tcPr>
            <w:tcW w:w="1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olor w:val="000000"/>
                <w:sz w:val="22"/>
                <w:lang w:val="en-US" w:eastAsia="zh-CN"/>
              </w:rPr>
            </w:pPr>
            <w:r>
              <w:rPr>
                <w:rFonts w:hint="eastAsia" w:ascii="宋体" w:hAnsi="宋体"/>
                <w:color w:val="000000"/>
                <w:sz w:val="22"/>
                <w:lang w:val="en-US" w:eastAsia="zh-CN"/>
              </w:rPr>
              <w:t>98.68</w:t>
            </w: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85" w:hRule="atLeast"/>
          <w:jc w:val="center"/>
        </w:trPr>
        <w:tc>
          <w:tcPr>
            <w:tcW w:w="89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2012950</w:t>
            </w:r>
          </w:p>
        </w:tc>
        <w:tc>
          <w:tcPr>
            <w:tcW w:w="45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 xml:space="preserve">  事业运行</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r>
              <w:rPr>
                <w:rFonts w:hint="eastAsia" w:ascii="宋体" w:hAnsi="宋体"/>
                <w:color w:val="000000"/>
                <w:sz w:val="22"/>
                <w:lang w:val="en-US" w:eastAsia="zh-CN"/>
              </w:rPr>
              <w:t>133.87</w:t>
            </w:r>
          </w:p>
        </w:tc>
        <w:tc>
          <w:tcPr>
            <w:tcW w:w="1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olor w:val="000000"/>
                <w:sz w:val="22"/>
                <w:lang w:val="en-US" w:eastAsia="zh-CN"/>
              </w:rPr>
            </w:pPr>
            <w:r>
              <w:rPr>
                <w:rFonts w:hint="eastAsia" w:ascii="宋体" w:hAnsi="宋体"/>
                <w:color w:val="000000"/>
                <w:sz w:val="22"/>
                <w:lang w:val="en-US" w:eastAsia="zh-CN"/>
              </w:rPr>
              <w:t>133.87</w:t>
            </w: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85" w:hRule="atLeast"/>
          <w:jc w:val="center"/>
        </w:trPr>
        <w:tc>
          <w:tcPr>
            <w:tcW w:w="89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20132</w:t>
            </w:r>
          </w:p>
        </w:tc>
        <w:tc>
          <w:tcPr>
            <w:tcW w:w="45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组织事务</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r>
              <w:rPr>
                <w:rFonts w:hint="eastAsia" w:ascii="宋体" w:hAnsi="宋体"/>
                <w:color w:val="000000"/>
                <w:sz w:val="22"/>
                <w:lang w:val="en-US" w:eastAsia="zh-CN"/>
              </w:rPr>
              <w:t>4.36</w:t>
            </w:r>
          </w:p>
        </w:tc>
        <w:tc>
          <w:tcPr>
            <w:tcW w:w="1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olor w:val="000000"/>
                <w:sz w:val="22"/>
                <w:lang w:val="en-US" w:eastAsia="zh-CN"/>
              </w:rPr>
            </w:pPr>
            <w:r>
              <w:rPr>
                <w:rFonts w:hint="eastAsia" w:ascii="宋体" w:hAnsi="宋体"/>
                <w:color w:val="000000"/>
                <w:sz w:val="22"/>
                <w:lang w:val="en-US" w:eastAsia="zh-CN"/>
              </w:rPr>
              <w:t>4.36</w:t>
            </w: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85" w:hRule="atLeast"/>
          <w:jc w:val="center"/>
        </w:trPr>
        <w:tc>
          <w:tcPr>
            <w:tcW w:w="89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2013202</w:t>
            </w:r>
          </w:p>
        </w:tc>
        <w:tc>
          <w:tcPr>
            <w:tcW w:w="45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 xml:space="preserve">  一般行政管理事务</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r>
              <w:rPr>
                <w:rFonts w:hint="eastAsia" w:ascii="宋体" w:hAnsi="宋体"/>
                <w:color w:val="000000"/>
                <w:sz w:val="22"/>
                <w:lang w:val="en-US" w:eastAsia="zh-CN"/>
              </w:rPr>
              <w:t>4.36</w:t>
            </w:r>
          </w:p>
        </w:tc>
        <w:tc>
          <w:tcPr>
            <w:tcW w:w="1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olor w:val="000000"/>
                <w:sz w:val="22"/>
                <w:lang w:val="en-US" w:eastAsia="zh-CN"/>
              </w:rPr>
            </w:pPr>
            <w:r>
              <w:rPr>
                <w:rFonts w:hint="eastAsia" w:ascii="宋体" w:hAnsi="宋体"/>
                <w:color w:val="000000"/>
                <w:sz w:val="22"/>
                <w:lang w:val="en-US" w:eastAsia="zh-CN"/>
              </w:rPr>
              <w:t>4.36</w:t>
            </w: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85" w:hRule="atLeast"/>
          <w:jc w:val="center"/>
        </w:trPr>
        <w:tc>
          <w:tcPr>
            <w:tcW w:w="89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kern w:val="2"/>
                <w:sz w:val="22"/>
                <w:szCs w:val="22"/>
                <w:lang w:val="en-US" w:eastAsia="zh-CN" w:bidi="ar-SA"/>
              </w:rPr>
            </w:pPr>
            <w:r>
              <w:rPr>
                <w:rFonts w:hint="eastAsia" w:ascii="宋体" w:hAnsi="宋体" w:cs="宋体"/>
                <w:color w:val="000000"/>
                <w:kern w:val="2"/>
                <w:sz w:val="22"/>
                <w:szCs w:val="22"/>
                <w:lang w:val="en-US" w:eastAsia="zh-CN" w:bidi="ar-SA"/>
              </w:rPr>
              <w:t>204</w:t>
            </w:r>
          </w:p>
        </w:tc>
        <w:tc>
          <w:tcPr>
            <w:tcW w:w="45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color w:val="000000"/>
                <w:kern w:val="2"/>
                <w:sz w:val="22"/>
                <w:szCs w:val="22"/>
                <w:lang w:val="en-US" w:eastAsia="zh-CN" w:bidi="ar-SA"/>
              </w:rPr>
            </w:pPr>
            <w:r>
              <w:rPr>
                <w:rFonts w:hint="eastAsia" w:ascii="宋体" w:hAnsi="宋体" w:cs="宋体"/>
                <w:color w:val="000000"/>
                <w:kern w:val="2"/>
                <w:sz w:val="22"/>
                <w:szCs w:val="22"/>
                <w:lang w:val="en-US" w:eastAsia="zh-CN" w:bidi="ar-SA"/>
              </w:rPr>
              <w:t>公共安全支出</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r>
              <w:rPr>
                <w:rFonts w:hint="eastAsia" w:ascii="宋体" w:hAnsi="宋体"/>
                <w:color w:val="000000"/>
                <w:sz w:val="22"/>
                <w:lang w:val="en-US" w:eastAsia="zh-CN"/>
              </w:rPr>
              <w:t>8.15</w:t>
            </w:r>
          </w:p>
        </w:tc>
        <w:tc>
          <w:tcPr>
            <w:tcW w:w="1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olor w:val="000000"/>
                <w:sz w:val="22"/>
                <w:lang w:val="en-US" w:eastAsia="zh-CN"/>
              </w:rPr>
            </w:pPr>
            <w:r>
              <w:rPr>
                <w:rFonts w:hint="eastAsia" w:ascii="宋体" w:hAnsi="宋体"/>
                <w:color w:val="000000"/>
                <w:sz w:val="22"/>
                <w:lang w:val="en-US" w:eastAsia="zh-CN"/>
              </w:rPr>
              <w:t>8.15</w:t>
            </w: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85" w:hRule="atLeast"/>
          <w:jc w:val="center"/>
        </w:trPr>
        <w:tc>
          <w:tcPr>
            <w:tcW w:w="89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208</w:t>
            </w:r>
          </w:p>
        </w:tc>
        <w:tc>
          <w:tcPr>
            <w:tcW w:w="45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社会保障和就业支出</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r>
              <w:rPr>
                <w:rFonts w:hint="eastAsia" w:ascii="宋体" w:hAnsi="宋体"/>
                <w:color w:val="000000"/>
                <w:sz w:val="22"/>
                <w:lang w:val="en-US" w:eastAsia="zh-CN"/>
              </w:rPr>
              <w:t>39.00</w:t>
            </w:r>
          </w:p>
        </w:tc>
        <w:tc>
          <w:tcPr>
            <w:tcW w:w="1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olor w:val="000000"/>
                <w:sz w:val="22"/>
                <w:lang w:val="en-US" w:eastAsia="zh-CN"/>
              </w:rPr>
            </w:pPr>
            <w:r>
              <w:rPr>
                <w:rFonts w:hint="eastAsia" w:ascii="宋体" w:hAnsi="宋体"/>
                <w:color w:val="000000"/>
                <w:sz w:val="22"/>
                <w:lang w:val="en-US" w:eastAsia="zh-CN"/>
              </w:rPr>
              <w:t>39.00</w:t>
            </w: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85" w:hRule="atLeast"/>
          <w:jc w:val="center"/>
        </w:trPr>
        <w:tc>
          <w:tcPr>
            <w:tcW w:w="89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20805</w:t>
            </w:r>
          </w:p>
        </w:tc>
        <w:tc>
          <w:tcPr>
            <w:tcW w:w="45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行政事业单位养老支出</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r>
              <w:rPr>
                <w:rFonts w:hint="eastAsia" w:ascii="宋体" w:hAnsi="宋体"/>
                <w:color w:val="000000"/>
                <w:sz w:val="22"/>
                <w:lang w:val="en-US" w:eastAsia="zh-CN"/>
              </w:rPr>
              <w:t>39.00</w:t>
            </w:r>
          </w:p>
        </w:tc>
        <w:tc>
          <w:tcPr>
            <w:tcW w:w="1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olor w:val="000000"/>
                <w:sz w:val="22"/>
                <w:lang w:val="en-US" w:eastAsia="zh-CN"/>
              </w:rPr>
            </w:pPr>
            <w:r>
              <w:rPr>
                <w:rFonts w:hint="eastAsia" w:ascii="宋体" w:hAnsi="宋体"/>
                <w:color w:val="000000"/>
                <w:sz w:val="22"/>
                <w:lang w:val="en-US" w:eastAsia="zh-CN"/>
              </w:rPr>
              <w:t>39.00</w:t>
            </w: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85" w:hRule="atLeast"/>
          <w:jc w:val="center"/>
        </w:trPr>
        <w:tc>
          <w:tcPr>
            <w:tcW w:w="89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2080501</w:t>
            </w:r>
          </w:p>
        </w:tc>
        <w:tc>
          <w:tcPr>
            <w:tcW w:w="45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 xml:space="preserve">  行政单位离退休</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r>
              <w:rPr>
                <w:rFonts w:hint="eastAsia" w:ascii="宋体" w:hAnsi="宋体"/>
                <w:color w:val="000000"/>
                <w:sz w:val="22"/>
                <w:lang w:val="en-US" w:eastAsia="zh-CN"/>
              </w:rPr>
              <w:t>3.37</w:t>
            </w:r>
          </w:p>
        </w:tc>
        <w:tc>
          <w:tcPr>
            <w:tcW w:w="1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olor w:val="000000"/>
                <w:sz w:val="22"/>
                <w:lang w:val="en-US" w:eastAsia="zh-CN"/>
              </w:rPr>
            </w:pPr>
            <w:r>
              <w:rPr>
                <w:rFonts w:hint="eastAsia" w:ascii="宋体" w:hAnsi="宋体"/>
                <w:color w:val="000000"/>
                <w:sz w:val="22"/>
                <w:lang w:val="en-US" w:eastAsia="zh-CN"/>
              </w:rPr>
              <w:t>3.37</w:t>
            </w: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85" w:hRule="atLeast"/>
          <w:jc w:val="center"/>
        </w:trPr>
        <w:tc>
          <w:tcPr>
            <w:tcW w:w="89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2080505</w:t>
            </w:r>
          </w:p>
        </w:tc>
        <w:tc>
          <w:tcPr>
            <w:tcW w:w="45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机关事业单位基本养老保险缴费支出</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r>
              <w:rPr>
                <w:rFonts w:hint="eastAsia" w:ascii="宋体" w:hAnsi="宋体"/>
                <w:color w:val="000000"/>
                <w:sz w:val="22"/>
                <w:lang w:val="en-US" w:eastAsia="zh-CN"/>
              </w:rPr>
              <w:t>35.63</w:t>
            </w:r>
          </w:p>
        </w:tc>
        <w:tc>
          <w:tcPr>
            <w:tcW w:w="1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r>
              <w:rPr>
                <w:rFonts w:hint="eastAsia" w:ascii="宋体" w:hAnsi="宋体"/>
                <w:color w:val="000000"/>
                <w:sz w:val="22"/>
                <w:lang w:val="en-US" w:eastAsia="zh-CN"/>
              </w:rPr>
              <w:t>35.63</w:t>
            </w: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85" w:hRule="atLeast"/>
          <w:jc w:val="center"/>
        </w:trPr>
        <w:tc>
          <w:tcPr>
            <w:tcW w:w="89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210</w:t>
            </w:r>
          </w:p>
        </w:tc>
        <w:tc>
          <w:tcPr>
            <w:tcW w:w="45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卫生健康支出</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r>
              <w:rPr>
                <w:rFonts w:hint="eastAsia" w:ascii="宋体" w:hAnsi="宋体"/>
                <w:color w:val="000000"/>
                <w:sz w:val="22"/>
                <w:lang w:val="en-US" w:eastAsia="zh-CN"/>
              </w:rPr>
              <w:t>25.37</w:t>
            </w:r>
          </w:p>
        </w:tc>
        <w:tc>
          <w:tcPr>
            <w:tcW w:w="1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olor w:val="000000"/>
                <w:sz w:val="22"/>
                <w:lang w:val="en-US" w:eastAsia="zh-CN"/>
              </w:rPr>
            </w:pPr>
            <w:r>
              <w:rPr>
                <w:rFonts w:hint="eastAsia" w:ascii="宋体" w:hAnsi="宋体"/>
                <w:color w:val="000000"/>
                <w:sz w:val="22"/>
                <w:lang w:val="en-US" w:eastAsia="zh-CN"/>
              </w:rPr>
              <w:t>25.37</w:t>
            </w: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85" w:hRule="atLeast"/>
          <w:jc w:val="center"/>
        </w:trPr>
        <w:tc>
          <w:tcPr>
            <w:tcW w:w="89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21011</w:t>
            </w:r>
          </w:p>
        </w:tc>
        <w:tc>
          <w:tcPr>
            <w:tcW w:w="45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行政事业单位医疗</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r>
              <w:rPr>
                <w:rFonts w:hint="eastAsia" w:ascii="宋体" w:hAnsi="宋体"/>
                <w:color w:val="000000"/>
                <w:sz w:val="22"/>
                <w:lang w:val="en-US" w:eastAsia="zh-CN"/>
              </w:rPr>
              <w:t>25.37</w:t>
            </w:r>
          </w:p>
        </w:tc>
        <w:tc>
          <w:tcPr>
            <w:tcW w:w="1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olor w:val="000000"/>
                <w:sz w:val="22"/>
                <w:lang w:val="en-US" w:eastAsia="zh-CN"/>
              </w:rPr>
            </w:pPr>
            <w:r>
              <w:rPr>
                <w:rFonts w:hint="eastAsia" w:ascii="宋体" w:hAnsi="宋体"/>
                <w:color w:val="000000"/>
                <w:sz w:val="22"/>
                <w:lang w:val="en-US" w:eastAsia="zh-CN"/>
              </w:rPr>
              <w:t>25.37</w:t>
            </w: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85" w:hRule="atLeast"/>
          <w:jc w:val="center"/>
        </w:trPr>
        <w:tc>
          <w:tcPr>
            <w:tcW w:w="89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2101101</w:t>
            </w:r>
          </w:p>
        </w:tc>
        <w:tc>
          <w:tcPr>
            <w:tcW w:w="45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 xml:space="preserve">  行政单位医疗</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r>
              <w:rPr>
                <w:rFonts w:hint="eastAsia" w:ascii="宋体" w:hAnsi="宋体"/>
                <w:color w:val="000000"/>
                <w:sz w:val="22"/>
                <w:lang w:val="en-US" w:eastAsia="zh-CN"/>
              </w:rPr>
              <w:t>14.68</w:t>
            </w:r>
          </w:p>
        </w:tc>
        <w:tc>
          <w:tcPr>
            <w:tcW w:w="1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olor w:val="000000"/>
                <w:sz w:val="22"/>
                <w:lang w:val="en-US" w:eastAsia="zh-CN"/>
              </w:rPr>
            </w:pPr>
            <w:r>
              <w:rPr>
                <w:rFonts w:hint="eastAsia" w:ascii="宋体" w:hAnsi="宋体"/>
                <w:color w:val="000000"/>
                <w:sz w:val="22"/>
                <w:lang w:val="en-US" w:eastAsia="zh-CN"/>
              </w:rPr>
              <w:t>14.68</w:t>
            </w: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85" w:hRule="atLeast"/>
          <w:jc w:val="center"/>
        </w:trPr>
        <w:tc>
          <w:tcPr>
            <w:tcW w:w="89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rPr>
              <w:t>2101102</w:t>
            </w:r>
          </w:p>
        </w:tc>
        <w:tc>
          <w:tcPr>
            <w:tcW w:w="45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 xml:space="preserve"> 事业单位医疗</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r>
              <w:rPr>
                <w:rFonts w:hint="eastAsia" w:ascii="宋体" w:hAnsi="宋体"/>
                <w:color w:val="000000"/>
                <w:sz w:val="22"/>
                <w:lang w:val="en-US" w:eastAsia="zh-CN"/>
              </w:rPr>
              <w:t>10.69</w:t>
            </w:r>
          </w:p>
        </w:tc>
        <w:tc>
          <w:tcPr>
            <w:tcW w:w="1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olor w:val="000000"/>
                <w:sz w:val="22"/>
                <w:lang w:val="en-US" w:eastAsia="zh-CN"/>
              </w:rPr>
            </w:pPr>
            <w:r>
              <w:rPr>
                <w:rFonts w:hint="eastAsia" w:ascii="宋体" w:hAnsi="宋体"/>
                <w:color w:val="000000"/>
                <w:sz w:val="22"/>
                <w:lang w:val="en-US" w:eastAsia="zh-CN"/>
              </w:rPr>
              <w:t>10.69</w:t>
            </w: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85" w:hRule="atLeast"/>
          <w:jc w:val="center"/>
        </w:trPr>
        <w:tc>
          <w:tcPr>
            <w:tcW w:w="89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221</w:t>
            </w:r>
          </w:p>
        </w:tc>
        <w:tc>
          <w:tcPr>
            <w:tcW w:w="45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住房保障支出</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r>
              <w:rPr>
                <w:rFonts w:hint="eastAsia" w:ascii="宋体" w:hAnsi="宋体"/>
                <w:color w:val="000000"/>
                <w:sz w:val="22"/>
                <w:lang w:val="en-US" w:eastAsia="zh-CN"/>
              </w:rPr>
              <w:t>26.70</w:t>
            </w:r>
          </w:p>
        </w:tc>
        <w:tc>
          <w:tcPr>
            <w:tcW w:w="1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olor w:val="000000"/>
                <w:sz w:val="22"/>
                <w:lang w:val="en-US" w:eastAsia="zh-CN"/>
              </w:rPr>
            </w:pPr>
            <w:r>
              <w:rPr>
                <w:rFonts w:hint="eastAsia" w:ascii="宋体" w:hAnsi="宋体"/>
                <w:color w:val="000000"/>
                <w:sz w:val="22"/>
                <w:lang w:val="en-US" w:eastAsia="zh-CN"/>
              </w:rPr>
              <w:t>26.70</w:t>
            </w: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85" w:hRule="atLeast"/>
          <w:jc w:val="center"/>
        </w:trPr>
        <w:tc>
          <w:tcPr>
            <w:tcW w:w="89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22102</w:t>
            </w:r>
          </w:p>
        </w:tc>
        <w:tc>
          <w:tcPr>
            <w:tcW w:w="45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住房改革支出</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r>
              <w:rPr>
                <w:rFonts w:hint="eastAsia" w:ascii="宋体" w:hAnsi="宋体"/>
                <w:color w:val="000000"/>
                <w:sz w:val="22"/>
                <w:lang w:val="en-US" w:eastAsia="zh-CN"/>
              </w:rPr>
              <w:t>26.70</w:t>
            </w:r>
          </w:p>
        </w:tc>
        <w:tc>
          <w:tcPr>
            <w:tcW w:w="1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olor w:val="000000"/>
                <w:sz w:val="22"/>
                <w:lang w:val="en-US"/>
              </w:rPr>
            </w:pPr>
            <w:r>
              <w:rPr>
                <w:rFonts w:hint="eastAsia" w:ascii="宋体" w:hAnsi="宋体"/>
                <w:color w:val="000000"/>
                <w:sz w:val="22"/>
                <w:lang w:val="en-US" w:eastAsia="zh-CN"/>
              </w:rPr>
              <w:t>26.70</w:t>
            </w: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85" w:hRule="atLeast"/>
          <w:jc w:val="center"/>
        </w:trPr>
        <w:tc>
          <w:tcPr>
            <w:tcW w:w="89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rPr>
              <w:t>2210201</w:t>
            </w:r>
          </w:p>
        </w:tc>
        <w:tc>
          <w:tcPr>
            <w:tcW w:w="45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住房公积金</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r>
              <w:rPr>
                <w:rFonts w:hint="eastAsia" w:ascii="宋体" w:hAnsi="宋体"/>
                <w:color w:val="000000"/>
                <w:sz w:val="22"/>
                <w:lang w:val="en-US" w:eastAsia="zh-CN"/>
              </w:rPr>
              <w:t>26.70</w:t>
            </w:r>
          </w:p>
        </w:tc>
        <w:tc>
          <w:tcPr>
            <w:tcW w:w="1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r>
              <w:rPr>
                <w:rFonts w:hint="eastAsia" w:ascii="宋体" w:hAnsi="宋体"/>
                <w:color w:val="000000"/>
                <w:sz w:val="22"/>
                <w:lang w:val="en-US" w:eastAsia="zh-CN"/>
              </w:rPr>
              <w:t>26.70</w:t>
            </w: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85" w:hRule="atLeast"/>
          <w:jc w:val="center"/>
        </w:trPr>
        <w:tc>
          <w:tcPr>
            <w:tcW w:w="9840" w:type="dxa"/>
            <w:gridSpan w:val="11"/>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color w:val="000000"/>
                <w:sz w:val="22"/>
              </w:rPr>
            </w:pPr>
            <w:r>
              <w:rPr>
                <w:rFonts w:hint="eastAsia" w:ascii="宋体" w:hAnsi="宋体"/>
                <w:color w:val="000000"/>
                <w:kern w:val="0"/>
                <w:sz w:val="22"/>
              </w:rPr>
              <w:t>注：本表反映部门本年度取得的各项收入情况。</w:t>
            </w:r>
          </w:p>
        </w:tc>
      </w:tr>
      <w:tr>
        <w:tblPrEx>
          <w:tblCellMar>
            <w:top w:w="0" w:type="dxa"/>
            <w:left w:w="0" w:type="dxa"/>
            <w:bottom w:w="0" w:type="dxa"/>
            <w:right w:w="0" w:type="dxa"/>
          </w:tblCellMar>
        </w:tblPrEx>
        <w:trPr>
          <w:trHeight w:val="385" w:hRule="atLeast"/>
          <w:jc w:val="center"/>
        </w:trPr>
        <w:tc>
          <w:tcPr>
            <w:tcW w:w="9840" w:type="dxa"/>
            <w:gridSpan w:val="11"/>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hint="eastAsia" w:ascii="宋体" w:hAnsi="宋体"/>
                <w:color w:val="000000"/>
                <w:kern w:val="0"/>
                <w:sz w:val="22"/>
              </w:rPr>
            </w:pPr>
          </w:p>
        </w:tc>
      </w:tr>
    </w:tbl>
    <w:p>
      <w:r>
        <w:br w:type="page"/>
      </w:r>
    </w:p>
    <w:tbl>
      <w:tblPr>
        <w:tblStyle w:val="8"/>
        <w:tblW w:w="9680" w:type="dxa"/>
        <w:jc w:val="center"/>
        <w:tblLayout w:type="fixed"/>
        <w:tblCellMar>
          <w:top w:w="0" w:type="dxa"/>
          <w:left w:w="0" w:type="dxa"/>
          <w:bottom w:w="0" w:type="dxa"/>
          <w:right w:w="0" w:type="dxa"/>
        </w:tblCellMar>
      </w:tblPr>
      <w:tblGrid>
        <w:gridCol w:w="941"/>
        <w:gridCol w:w="53"/>
        <w:gridCol w:w="111"/>
        <w:gridCol w:w="1359"/>
        <w:gridCol w:w="1161"/>
        <w:gridCol w:w="1161"/>
        <w:gridCol w:w="1161"/>
        <w:gridCol w:w="1161"/>
        <w:gridCol w:w="1161"/>
        <w:gridCol w:w="1411"/>
      </w:tblGrid>
      <w:tr>
        <w:tblPrEx>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支出决算表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35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411"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color w:val="000000"/>
                <w:sz w:val="20"/>
                <w:szCs w:val="20"/>
              </w:rPr>
            </w:pPr>
            <w:r>
              <w:rPr>
                <w:rFonts w:hint="eastAsia" w:ascii="宋体" w:hAnsi="宋体"/>
                <w:color w:val="000000"/>
                <w:kern w:val="0"/>
                <w:sz w:val="20"/>
                <w:szCs w:val="20"/>
              </w:rPr>
              <w:t>公开03表</w:t>
            </w:r>
          </w:p>
        </w:tc>
      </w:tr>
      <w:tr>
        <w:tblPrEx>
          <w:tblCellMar>
            <w:top w:w="0" w:type="dxa"/>
            <w:left w:w="0" w:type="dxa"/>
            <w:bottom w:w="0" w:type="dxa"/>
            <w:right w:w="0" w:type="dxa"/>
          </w:tblCellMar>
        </w:tblPrEx>
        <w:trPr>
          <w:trHeight w:val="313" w:hRule="atLeast"/>
          <w:jc w:val="center"/>
        </w:trPr>
        <w:tc>
          <w:tcPr>
            <w:tcW w:w="4786" w:type="dxa"/>
            <w:gridSpan w:val="6"/>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r>
              <w:rPr>
                <w:rFonts w:hint="eastAsia" w:ascii="宋体" w:hAnsi="宋体"/>
                <w:color w:val="000000"/>
                <w:kern w:val="0"/>
                <w:sz w:val="20"/>
                <w:szCs w:val="20"/>
              </w:rPr>
              <w:t>部门：</w:t>
            </w:r>
            <w:r>
              <w:rPr>
                <w:rFonts w:hint="eastAsia" w:ascii="宋体" w:hAnsi="宋体"/>
                <w:color w:val="000000"/>
                <w:kern w:val="0"/>
                <w:sz w:val="20"/>
                <w:szCs w:val="20"/>
                <w:lang w:val="en-US" w:eastAsia="zh-CN"/>
              </w:rPr>
              <w:t>中国共产主义青年团张家口市委员会</w:t>
            </w: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572"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color w:val="000000"/>
                <w:sz w:val="20"/>
                <w:szCs w:val="20"/>
              </w:rPr>
            </w:pPr>
            <w:r>
              <w:rPr>
                <w:rFonts w:hint="eastAsia" w:ascii="宋体" w:hAnsi="宋体"/>
                <w:color w:val="000000"/>
                <w:kern w:val="0"/>
                <w:sz w:val="20"/>
                <w:szCs w:val="20"/>
              </w:rPr>
              <w:t>金额单位：万元</w:t>
            </w:r>
          </w:p>
        </w:tc>
      </w:tr>
      <w:tr>
        <w:tblPrEx>
          <w:tblCellMar>
            <w:top w:w="0" w:type="dxa"/>
            <w:left w:w="0" w:type="dxa"/>
            <w:bottom w:w="0" w:type="dxa"/>
            <w:right w:w="0" w:type="dxa"/>
          </w:tblCellMar>
        </w:tblPrEx>
        <w:trPr>
          <w:trHeight w:val="323" w:hRule="atLeast"/>
          <w:jc w:val="center"/>
        </w:trPr>
        <w:tc>
          <w:tcPr>
            <w:tcW w:w="246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项目</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本年支出合计</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基本支出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项目支出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上缴上级支出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经营支出</w:t>
            </w:r>
          </w:p>
        </w:tc>
        <w:tc>
          <w:tcPr>
            <w:tcW w:w="141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对附属单位补助支出</w:t>
            </w:r>
          </w:p>
        </w:tc>
      </w:tr>
      <w:tr>
        <w:trPr>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功能分类科目编码</w:t>
            </w:r>
          </w:p>
        </w:tc>
        <w:tc>
          <w:tcPr>
            <w:tcW w:w="1359"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科目名称</w:t>
            </w: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35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35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r>
      <w:tr>
        <w:tblPrEx>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栏次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5</w:t>
            </w: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6</w:t>
            </w:r>
          </w:p>
        </w:tc>
      </w:tr>
      <w:tr>
        <w:tblPrEx>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合计</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b/>
                <w:color w:val="000000"/>
                <w:sz w:val="22"/>
                <w:lang w:val="en-US" w:eastAsia="zh-CN"/>
              </w:rPr>
            </w:pPr>
            <w:r>
              <w:rPr>
                <w:rFonts w:hint="eastAsia" w:ascii="宋体" w:hAnsi="宋体"/>
                <w:b/>
                <w:color w:val="000000"/>
                <w:sz w:val="22"/>
                <w:lang w:val="en-US" w:eastAsia="zh-CN"/>
              </w:rPr>
              <w:t>589.40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b/>
                <w:color w:val="000000"/>
                <w:sz w:val="22"/>
                <w:lang w:val="en-US" w:eastAsia="zh-CN"/>
              </w:rPr>
            </w:pPr>
            <w:r>
              <w:rPr>
                <w:rFonts w:hint="eastAsia" w:ascii="宋体" w:hAnsi="宋体"/>
                <w:b/>
                <w:color w:val="000000"/>
                <w:sz w:val="22"/>
                <w:lang w:val="en-US" w:eastAsia="zh-CN"/>
              </w:rPr>
              <w:t>478.21</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b/>
                <w:color w:val="000000"/>
                <w:sz w:val="22"/>
                <w:lang w:val="en-US" w:eastAsia="zh-CN"/>
              </w:rPr>
            </w:pPr>
            <w:r>
              <w:rPr>
                <w:rFonts w:hint="eastAsia" w:ascii="宋体" w:hAnsi="宋体"/>
                <w:b/>
                <w:color w:val="000000"/>
                <w:sz w:val="22"/>
                <w:lang w:val="en-US" w:eastAsia="zh-CN"/>
              </w:rPr>
              <w:t>111.19</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b/>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b/>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b/>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201</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一般公共服务支出</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olor w:val="000000"/>
                <w:sz w:val="22"/>
                <w:lang w:val="en-US" w:eastAsia="zh-CN"/>
              </w:rPr>
            </w:pPr>
            <w:r>
              <w:rPr>
                <w:rFonts w:hint="eastAsia" w:ascii="宋体" w:hAnsi="宋体"/>
                <w:color w:val="000000"/>
                <w:sz w:val="22"/>
                <w:lang w:val="en-US" w:eastAsia="zh-CN"/>
              </w:rPr>
              <w:t>479.53</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olor w:val="000000"/>
                <w:sz w:val="22"/>
                <w:lang w:val="en-US" w:eastAsia="zh-CN"/>
              </w:rPr>
            </w:pPr>
            <w:r>
              <w:rPr>
                <w:rFonts w:hint="eastAsia" w:ascii="宋体" w:hAnsi="宋体"/>
                <w:color w:val="000000"/>
                <w:sz w:val="22"/>
                <w:lang w:val="en-US" w:eastAsia="zh-CN"/>
              </w:rPr>
              <w:t>376.49</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olor w:val="000000"/>
                <w:sz w:val="22"/>
                <w:lang w:val="en-US" w:eastAsia="zh-CN"/>
              </w:rPr>
            </w:pPr>
            <w:r>
              <w:rPr>
                <w:rFonts w:hint="eastAsia" w:ascii="宋体" w:hAnsi="宋体"/>
                <w:color w:val="000000"/>
                <w:sz w:val="22"/>
                <w:lang w:val="en-US" w:eastAsia="zh-CN"/>
              </w:rPr>
              <w:t>103.04</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20129</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群众团体事务</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olor w:val="000000"/>
                <w:sz w:val="22"/>
                <w:lang w:val="en-US" w:eastAsia="zh-CN"/>
              </w:rPr>
            </w:pPr>
            <w:r>
              <w:rPr>
                <w:rFonts w:hint="eastAsia" w:ascii="宋体" w:hAnsi="宋体"/>
                <w:color w:val="000000"/>
                <w:sz w:val="22"/>
                <w:lang w:val="en-US" w:eastAsia="zh-CN"/>
              </w:rPr>
              <w:t>475.17</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olor w:val="000000"/>
                <w:sz w:val="22"/>
                <w:lang w:val="en-US" w:eastAsia="zh-CN"/>
              </w:rPr>
            </w:pPr>
            <w:r>
              <w:rPr>
                <w:rFonts w:hint="eastAsia" w:ascii="宋体" w:hAnsi="宋体"/>
                <w:color w:val="000000"/>
                <w:sz w:val="22"/>
                <w:lang w:val="en-US" w:eastAsia="zh-CN"/>
              </w:rPr>
              <w:t>376.49</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olor w:val="000000"/>
                <w:sz w:val="22"/>
                <w:lang w:val="en-US" w:eastAsia="zh-CN"/>
              </w:rPr>
            </w:pPr>
            <w:r>
              <w:rPr>
                <w:rFonts w:hint="eastAsia" w:ascii="宋体" w:hAnsi="宋体"/>
                <w:color w:val="000000"/>
                <w:sz w:val="22"/>
                <w:lang w:val="en-US" w:eastAsia="zh-CN"/>
              </w:rPr>
              <w:t>98.68</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2012901</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 xml:space="preserve">  行政运行</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r>
              <w:rPr>
                <w:rFonts w:hint="eastAsia" w:ascii="宋体" w:hAnsi="宋体"/>
                <w:color w:val="000000"/>
                <w:sz w:val="22"/>
                <w:lang w:val="en-US" w:eastAsia="zh-CN"/>
              </w:rPr>
              <w:t>238.66</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olor w:val="000000"/>
                <w:sz w:val="22"/>
                <w:lang w:val="en-US" w:eastAsia="zh-CN"/>
              </w:rPr>
            </w:pPr>
            <w:r>
              <w:rPr>
                <w:rFonts w:hint="eastAsia" w:ascii="宋体" w:hAnsi="宋体"/>
                <w:color w:val="000000"/>
                <w:sz w:val="22"/>
                <w:lang w:val="en-US" w:eastAsia="zh-CN"/>
              </w:rPr>
              <w:t>238.66</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2012902</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 xml:space="preserve">  一般行政管理事务</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r>
              <w:rPr>
                <w:rFonts w:hint="eastAsia" w:ascii="宋体" w:hAnsi="宋体"/>
                <w:color w:val="000000"/>
                <w:sz w:val="22"/>
                <w:lang w:val="en-US" w:eastAsia="zh-CN"/>
              </w:rPr>
              <w:t>98.68</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olor w:val="000000"/>
                <w:sz w:val="22"/>
                <w:lang w:val="en-US" w:eastAsia="zh-CN"/>
              </w:rPr>
            </w:pPr>
            <w:r>
              <w:rPr>
                <w:rFonts w:hint="eastAsia" w:ascii="宋体" w:hAnsi="宋体"/>
                <w:color w:val="000000"/>
                <w:sz w:val="22"/>
                <w:lang w:val="en-US" w:eastAsia="zh-CN"/>
              </w:rPr>
              <w:t>98.68</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2012950</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 xml:space="preserve">  事业运行</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r>
              <w:rPr>
                <w:rFonts w:hint="eastAsia" w:ascii="宋体" w:hAnsi="宋体"/>
                <w:color w:val="000000"/>
                <w:sz w:val="22"/>
                <w:lang w:val="en-US" w:eastAsia="zh-CN"/>
              </w:rPr>
              <w:t>137.83</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olor w:val="000000"/>
                <w:sz w:val="22"/>
                <w:lang w:val="en-US" w:eastAsia="zh-CN"/>
              </w:rPr>
            </w:pPr>
            <w:r>
              <w:rPr>
                <w:rFonts w:hint="eastAsia" w:ascii="宋体" w:hAnsi="宋体"/>
                <w:color w:val="000000"/>
                <w:sz w:val="22"/>
                <w:lang w:val="en-US" w:eastAsia="zh-CN"/>
              </w:rPr>
              <w:t>137.83</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20132</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组织事务</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kern w:val="2"/>
                <w:sz w:val="22"/>
                <w:szCs w:val="22"/>
                <w:lang w:val="en-US" w:eastAsia="zh-CN" w:bidi="ar-SA"/>
              </w:rPr>
            </w:pPr>
            <w:r>
              <w:rPr>
                <w:rFonts w:hint="eastAsia" w:ascii="宋体" w:hAnsi="宋体"/>
                <w:color w:val="000000"/>
                <w:sz w:val="22"/>
                <w:lang w:val="en-US" w:eastAsia="zh-CN"/>
              </w:rPr>
              <w:t>4.36</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olor w:val="000000"/>
                <w:sz w:val="22"/>
                <w:lang w:val="en-US" w:eastAsia="zh-CN"/>
              </w:rPr>
            </w:pPr>
            <w:r>
              <w:rPr>
                <w:rFonts w:hint="eastAsia" w:ascii="宋体" w:hAnsi="宋体"/>
                <w:color w:val="000000"/>
                <w:sz w:val="22"/>
                <w:lang w:val="en-US" w:eastAsia="zh-CN"/>
              </w:rPr>
              <w:t>4.36</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2013202</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 xml:space="preserve">  一般行政管理事务</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kern w:val="2"/>
                <w:sz w:val="22"/>
                <w:szCs w:val="22"/>
                <w:lang w:val="en-US" w:eastAsia="zh-CN" w:bidi="ar-SA"/>
              </w:rPr>
            </w:pPr>
            <w:r>
              <w:rPr>
                <w:rFonts w:hint="eastAsia" w:ascii="宋体" w:hAnsi="宋体"/>
                <w:color w:val="000000"/>
                <w:sz w:val="22"/>
                <w:lang w:val="en-US" w:eastAsia="zh-CN"/>
              </w:rPr>
              <w:t>4.36</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olor w:val="000000"/>
                <w:sz w:val="22"/>
                <w:lang w:val="en-US" w:eastAsia="zh-CN"/>
              </w:rPr>
            </w:pPr>
            <w:r>
              <w:rPr>
                <w:rFonts w:hint="eastAsia" w:ascii="宋体" w:hAnsi="宋体"/>
                <w:color w:val="000000"/>
                <w:sz w:val="22"/>
                <w:lang w:val="en-US" w:eastAsia="zh-CN"/>
              </w:rPr>
              <w:t>4.36</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kern w:val="2"/>
                <w:sz w:val="22"/>
                <w:szCs w:val="22"/>
                <w:lang w:val="en-US" w:eastAsia="zh-CN" w:bidi="ar-SA"/>
              </w:rPr>
            </w:pPr>
            <w:r>
              <w:rPr>
                <w:rFonts w:hint="eastAsia" w:ascii="宋体" w:hAnsi="宋体" w:cs="宋体"/>
                <w:color w:val="000000"/>
                <w:kern w:val="2"/>
                <w:sz w:val="22"/>
                <w:szCs w:val="22"/>
                <w:lang w:val="en-US" w:eastAsia="zh-CN" w:bidi="ar-SA"/>
              </w:rPr>
              <w:t>204</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color w:val="000000"/>
                <w:kern w:val="2"/>
                <w:sz w:val="22"/>
                <w:szCs w:val="22"/>
                <w:lang w:val="en-US" w:eastAsia="zh-CN" w:bidi="ar-SA"/>
              </w:rPr>
            </w:pPr>
            <w:r>
              <w:rPr>
                <w:rFonts w:hint="eastAsia" w:ascii="宋体" w:hAnsi="宋体" w:cs="宋体"/>
                <w:color w:val="000000"/>
                <w:kern w:val="2"/>
                <w:sz w:val="22"/>
                <w:szCs w:val="22"/>
                <w:lang w:val="en-US" w:eastAsia="zh-CN" w:bidi="ar-SA"/>
              </w:rPr>
              <w:t>公共安全支出</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kern w:val="2"/>
                <w:sz w:val="22"/>
                <w:szCs w:val="22"/>
                <w:lang w:val="en-US" w:eastAsia="zh-CN" w:bidi="ar-SA"/>
              </w:rPr>
            </w:pPr>
            <w:r>
              <w:rPr>
                <w:rFonts w:hint="eastAsia" w:ascii="宋体" w:hAnsi="宋体"/>
                <w:color w:val="000000"/>
                <w:sz w:val="22"/>
                <w:lang w:val="en-US" w:eastAsia="zh-CN"/>
              </w:rPr>
              <w:t>8.15</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olor w:val="000000"/>
                <w:sz w:val="22"/>
                <w:lang w:val="en-US" w:eastAsia="zh-CN"/>
              </w:rPr>
            </w:pPr>
            <w:r>
              <w:rPr>
                <w:rFonts w:hint="eastAsia" w:ascii="宋体" w:hAnsi="宋体"/>
                <w:color w:val="000000"/>
                <w:sz w:val="22"/>
                <w:lang w:val="en-US" w:eastAsia="zh-CN"/>
              </w:rPr>
              <w:t>8.15</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208</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社会保障和就业支出</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kern w:val="2"/>
                <w:sz w:val="22"/>
                <w:szCs w:val="22"/>
                <w:lang w:val="en-US" w:eastAsia="zh-CN" w:bidi="ar-SA"/>
              </w:rPr>
            </w:pPr>
            <w:r>
              <w:rPr>
                <w:rFonts w:hint="eastAsia" w:ascii="宋体" w:hAnsi="宋体"/>
                <w:color w:val="000000"/>
                <w:sz w:val="22"/>
                <w:lang w:val="en-US" w:eastAsia="zh-CN"/>
              </w:rPr>
              <w:t>45.78</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olor w:val="000000"/>
                <w:sz w:val="22"/>
                <w:lang w:val="en-US" w:eastAsia="zh-CN"/>
              </w:rPr>
            </w:pPr>
            <w:r>
              <w:rPr>
                <w:rFonts w:hint="eastAsia" w:ascii="宋体" w:hAnsi="宋体"/>
                <w:color w:val="000000"/>
                <w:sz w:val="22"/>
                <w:lang w:val="en-US" w:eastAsia="zh-CN"/>
              </w:rPr>
              <w:t>45.78</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olor w:val="000000"/>
                <w:sz w:val="22"/>
                <w:lang w:val="en-US" w:eastAsia="zh-CN"/>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20805</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行政事业单位养老支出</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kern w:val="2"/>
                <w:sz w:val="22"/>
                <w:szCs w:val="22"/>
                <w:lang w:val="en-US" w:eastAsia="zh-CN" w:bidi="ar-SA"/>
              </w:rPr>
            </w:pPr>
            <w:r>
              <w:rPr>
                <w:rFonts w:hint="eastAsia" w:ascii="宋体" w:hAnsi="宋体"/>
                <w:color w:val="000000"/>
                <w:sz w:val="22"/>
                <w:lang w:val="en-US" w:eastAsia="zh-CN"/>
              </w:rPr>
              <w:t>45.78</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olor w:val="000000"/>
                <w:sz w:val="22"/>
                <w:lang w:val="en-US" w:eastAsia="zh-CN"/>
              </w:rPr>
            </w:pPr>
            <w:r>
              <w:rPr>
                <w:rFonts w:hint="eastAsia" w:ascii="宋体" w:hAnsi="宋体"/>
                <w:color w:val="000000"/>
                <w:sz w:val="22"/>
                <w:lang w:val="en-US" w:eastAsia="zh-CN"/>
              </w:rPr>
              <w:t>45.78</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olor w:val="000000"/>
                <w:sz w:val="22"/>
                <w:lang w:val="en-US" w:eastAsia="zh-CN"/>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2080501</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 xml:space="preserve">  行政单位离退休</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kern w:val="2"/>
                <w:sz w:val="22"/>
                <w:szCs w:val="22"/>
                <w:lang w:val="en-US" w:eastAsia="zh-CN" w:bidi="ar-SA"/>
              </w:rPr>
            </w:pPr>
            <w:r>
              <w:rPr>
                <w:rFonts w:hint="eastAsia" w:ascii="宋体" w:hAnsi="宋体"/>
                <w:color w:val="000000"/>
                <w:sz w:val="22"/>
                <w:lang w:val="en-US" w:eastAsia="zh-CN"/>
              </w:rPr>
              <w:t>3.37</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olor w:val="000000"/>
                <w:sz w:val="22"/>
                <w:lang w:val="en-US" w:eastAsia="zh-CN"/>
              </w:rPr>
            </w:pPr>
            <w:r>
              <w:rPr>
                <w:rFonts w:hint="eastAsia" w:ascii="宋体" w:hAnsi="宋体"/>
                <w:color w:val="000000"/>
                <w:sz w:val="22"/>
                <w:lang w:val="en-US" w:eastAsia="zh-CN"/>
              </w:rPr>
              <w:t>3.37</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2080505</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机关事业单位基本养老保险缴费支出</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kern w:val="2"/>
                <w:sz w:val="22"/>
                <w:szCs w:val="22"/>
                <w:lang w:val="en-US" w:eastAsia="zh-CN" w:bidi="ar-SA"/>
              </w:rPr>
            </w:pPr>
            <w:r>
              <w:rPr>
                <w:rFonts w:hint="eastAsia" w:ascii="宋体" w:hAnsi="宋体"/>
                <w:color w:val="000000"/>
                <w:sz w:val="22"/>
                <w:lang w:val="en-US" w:eastAsia="zh-CN"/>
              </w:rPr>
              <w:t>42.41</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olor w:val="000000"/>
                <w:sz w:val="22"/>
                <w:lang w:val="en-US" w:eastAsia="zh-CN"/>
              </w:rPr>
            </w:pPr>
            <w:r>
              <w:rPr>
                <w:rFonts w:hint="eastAsia" w:ascii="宋体" w:hAnsi="宋体"/>
                <w:color w:val="000000"/>
                <w:sz w:val="22"/>
                <w:lang w:val="en-US" w:eastAsia="zh-CN"/>
              </w:rPr>
              <w:t>42.41</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210</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卫生健康支出</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kern w:val="2"/>
                <w:sz w:val="22"/>
                <w:szCs w:val="22"/>
                <w:lang w:val="en-US" w:eastAsia="zh-CN" w:bidi="ar-SA"/>
              </w:rPr>
            </w:pPr>
            <w:r>
              <w:rPr>
                <w:rFonts w:hint="eastAsia" w:ascii="宋体" w:hAnsi="宋体"/>
                <w:color w:val="000000"/>
                <w:sz w:val="22"/>
                <w:lang w:val="en-US" w:eastAsia="zh-CN"/>
              </w:rPr>
              <w:t>28.08</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olor w:val="000000"/>
                <w:sz w:val="22"/>
                <w:lang w:val="en-US" w:eastAsia="zh-CN"/>
              </w:rPr>
            </w:pPr>
            <w:r>
              <w:rPr>
                <w:rFonts w:hint="eastAsia" w:ascii="宋体" w:hAnsi="宋体"/>
                <w:color w:val="000000"/>
                <w:sz w:val="22"/>
                <w:lang w:val="en-US" w:eastAsia="zh-CN"/>
              </w:rPr>
              <w:t>28.08</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21011</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行政事业单位医疗</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kern w:val="2"/>
                <w:sz w:val="22"/>
                <w:szCs w:val="22"/>
                <w:lang w:val="en-US" w:eastAsia="zh-CN" w:bidi="ar-SA"/>
              </w:rPr>
            </w:pPr>
            <w:r>
              <w:rPr>
                <w:rFonts w:hint="eastAsia" w:ascii="宋体" w:hAnsi="宋体"/>
                <w:color w:val="000000"/>
                <w:sz w:val="22"/>
                <w:lang w:val="en-US" w:eastAsia="zh-CN"/>
              </w:rPr>
              <w:t>28.08</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olor w:val="000000"/>
                <w:sz w:val="22"/>
                <w:lang w:val="en-US" w:eastAsia="zh-CN"/>
              </w:rPr>
            </w:pPr>
            <w:r>
              <w:rPr>
                <w:rFonts w:hint="eastAsia" w:ascii="宋体" w:hAnsi="宋体"/>
                <w:color w:val="000000"/>
                <w:sz w:val="22"/>
                <w:lang w:val="en-US" w:eastAsia="zh-CN"/>
              </w:rPr>
              <w:t>28.08</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2101101</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 xml:space="preserve">  行政单位医疗</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kern w:val="2"/>
                <w:sz w:val="22"/>
                <w:szCs w:val="22"/>
                <w:lang w:val="en-US" w:eastAsia="zh-CN" w:bidi="ar-SA"/>
              </w:rPr>
            </w:pPr>
            <w:r>
              <w:rPr>
                <w:rFonts w:hint="eastAsia" w:ascii="宋体" w:hAnsi="宋体"/>
                <w:color w:val="000000"/>
                <w:sz w:val="22"/>
                <w:lang w:val="en-US" w:eastAsia="zh-CN"/>
              </w:rPr>
              <w:t>16.15</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olor w:val="000000"/>
                <w:sz w:val="22"/>
                <w:lang w:val="en-US" w:eastAsia="zh-CN"/>
              </w:rPr>
            </w:pPr>
            <w:r>
              <w:rPr>
                <w:rFonts w:hint="eastAsia" w:ascii="宋体" w:hAnsi="宋体"/>
                <w:color w:val="000000"/>
                <w:sz w:val="22"/>
                <w:lang w:val="en-US" w:eastAsia="zh-CN"/>
              </w:rPr>
              <w:t>16.15</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rPr>
              <w:t>2101102</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 xml:space="preserve"> 事业单位医疗</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kern w:val="2"/>
                <w:sz w:val="22"/>
                <w:szCs w:val="22"/>
                <w:lang w:val="en-US" w:eastAsia="zh-CN" w:bidi="ar-SA"/>
              </w:rPr>
            </w:pPr>
            <w:r>
              <w:rPr>
                <w:rFonts w:hint="eastAsia" w:ascii="宋体" w:hAnsi="宋体"/>
                <w:color w:val="000000"/>
                <w:sz w:val="22"/>
                <w:lang w:val="en-US" w:eastAsia="zh-CN"/>
              </w:rPr>
              <w:t>11.93</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olor w:val="000000"/>
                <w:sz w:val="22"/>
                <w:lang w:val="en-US" w:eastAsia="zh-CN"/>
              </w:rPr>
            </w:pPr>
            <w:r>
              <w:rPr>
                <w:rFonts w:hint="eastAsia" w:ascii="宋体" w:hAnsi="宋体"/>
                <w:color w:val="000000"/>
                <w:sz w:val="22"/>
                <w:lang w:val="en-US" w:eastAsia="zh-CN"/>
              </w:rPr>
              <w:t>11.93</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221</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住房保障支出</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kern w:val="2"/>
                <w:sz w:val="22"/>
                <w:szCs w:val="22"/>
                <w:lang w:val="en-US" w:eastAsia="zh-CN" w:bidi="ar-SA"/>
              </w:rPr>
            </w:pPr>
            <w:r>
              <w:rPr>
                <w:rFonts w:hint="eastAsia" w:ascii="宋体" w:hAnsi="宋体"/>
                <w:color w:val="000000"/>
                <w:sz w:val="22"/>
                <w:lang w:val="en-US" w:eastAsia="zh-CN"/>
              </w:rPr>
              <w:t>27.86</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olor w:val="000000"/>
                <w:sz w:val="22"/>
                <w:lang w:val="en-US" w:eastAsia="zh-CN"/>
              </w:rPr>
            </w:pPr>
            <w:r>
              <w:rPr>
                <w:rFonts w:hint="eastAsia" w:ascii="宋体" w:hAnsi="宋体"/>
                <w:color w:val="000000"/>
                <w:sz w:val="22"/>
                <w:lang w:val="en-US" w:eastAsia="zh-CN"/>
              </w:rPr>
              <w:t>27.86</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22102</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住房改革支出</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kern w:val="2"/>
                <w:sz w:val="22"/>
                <w:szCs w:val="22"/>
                <w:lang w:val="en-US" w:eastAsia="zh-CN" w:bidi="ar-SA"/>
              </w:rPr>
            </w:pPr>
            <w:r>
              <w:rPr>
                <w:rFonts w:hint="eastAsia" w:ascii="宋体" w:hAnsi="宋体"/>
                <w:color w:val="000000"/>
                <w:sz w:val="22"/>
                <w:lang w:val="en-US" w:eastAsia="zh-CN"/>
              </w:rPr>
              <w:t>27.86</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olor w:val="000000"/>
                <w:sz w:val="22"/>
                <w:lang w:val="en-US" w:eastAsia="zh-CN"/>
              </w:rPr>
            </w:pPr>
            <w:r>
              <w:rPr>
                <w:rFonts w:hint="eastAsia" w:ascii="宋体" w:hAnsi="宋体"/>
                <w:color w:val="000000"/>
                <w:sz w:val="22"/>
                <w:lang w:val="en-US" w:eastAsia="zh-CN"/>
              </w:rPr>
              <w:t>27.86</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rPr>
              <w:t>2210201</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住房公积金</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kern w:val="2"/>
                <w:sz w:val="22"/>
                <w:szCs w:val="22"/>
                <w:lang w:val="en-US" w:eastAsia="zh-CN" w:bidi="ar-SA"/>
              </w:rPr>
            </w:pPr>
            <w:r>
              <w:rPr>
                <w:rFonts w:hint="eastAsia" w:ascii="宋体" w:hAnsi="宋体"/>
                <w:color w:val="000000"/>
                <w:sz w:val="22"/>
                <w:lang w:val="en-US" w:eastAsia="zh-CN"/>
              </w:rPr>
              <w:t>27.86</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olor w:val="000000"/>
                <w:sz w:val="22"/>
                <w:lang w:val="en-US" w:eastAsia="zh-CN"/>
              </w:rPr>
            </w:pPr>
            <w:r>
              <w:rPr>
                <w:rFonts w:hint="eastAsia" w:ascii="宋体" w:hAnsi="宋体"/>
                <w:color w:val="000000"/>
                <w:sz w:val="22"/>
                <w:lang w:val="en-US" w:eastAsia="zh-CN"/>
              </w:rPr>
              <w:t>27.86</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color w:val="000000"/>
                <w:sz w:val="22"/>
              </w:rPr>
            </w:pPr>
            <w:r>
              <w:rPr>
                <w:rFonts w:hint="eastAsia" w:ascii="宋体" w:hAnsi="宋体"/>
                <w:color w:val="000000"/>
                <w:kern w:val="0"/>
                <w:sz w:val="22"/>
              </w:rPr>
              <w:t>注：本表反映部门本年度各项支出情况。</w:t>
            </w:r>
          </w:p>
        </w:tc>
      </w:tr>
    </w:tbl>
    <w:p>
      <w:r>
        <w:br w:type="page"/>
      </w:r>
    </w:p>
    <w:tbl>
      <w:tblPr>
        <w:tblStyle w:val="8"/>
        <w:tblW w:w="11146" w:type="dxa"/>
        <w:jc w:val="center"/>
        <w:tblLayout w:type="fixed"/>
        <w:tblCellMar>
          <w:top w:w="0" w:type="dxa"/>
          <w:left w:w="0" w:type="dxa"/>
          <w:bottom w:w="0" w:type="dxa"/>
          <w:right w:w="0" w:type="dxa"/>
        </w:tblCellMar>
      </w:tblPr>
      <w:tblGrid>
        <w:gridCol w:w="2764"/>
        <w:gridCol w:w="654"/>
        <w:gridCol w:w="768"/>
        <w:gridCol w:w="3210"/>
        <w:gridCol w:w="454"/>
        <w:gridCol w:w="943"/>
        <w:gridCol w:w="760"/>
        <w:gridCol w:w="767"/>
        <w:gridCol w:w="826"/>
      </w:tblGrid>
      <w:tr>
        <w:tblPrEx>
          <w:tblCellMar>
            <w:top w:w="0" w:type="dxa"/>
            <w:left w:w="0" w:type="dxa"/>
            <w:bottom w:w="0" w:type="dxa"/>
            <w:right w:w="0" w:type="dxa"/>
          </w:tblCellMar>
        </w:tblPrEx>
        <w:trPr>
          <w:trHeight w:val="306" w:hRule="atLeast"/>
          <w:jc w:val="center"/>
        </w:trPr>
        <w:tc>
          <w:tcPr>
            <w:tcW w:w="11146" w:type="dxa"/>
            <w:gridSpan w:val="9"/>
            <w:tcBorders>
              <w:top w:val="nil"/>
              <w:left w:val="nil"/>
              <w:bottom w:val="nil"/>
              <w:right w:val="nil"/>
            </w:tcBorders>
            <w:shd w:val="clear" w:color="auto" w:fill="auto"/>
            <w:noWrap/>
            <w:tcMar>
              <w:top w:w="15" w:type="dxa"/>
              <w:left w:w="15" w:type="dxa"/>
              <w:right w:w="15" w:type="dxa"/>
            </w:tcMar>
            <w:vAlign w:val="bottom"/>
          </w:tcPr>
          <w:p>
            <w:pPr>
              <w:snapToGrid w:val="0"/>
              <w:spacing w:line="200" w:lineRule="atLeast"/>
              <w:jc w:val="center"/>
              <w:rPr>
                <w:rFonts w:ascii="黑体" w:hAnsi="宋体" w:eastAsia="黑体" w:cs="黑体"/>
                <w:color w:val="000000"/>
                <w:kern w:val="0"/>
                <w:sz w:val="32"/>
                <w:szCs w:val="32"/>
              </w:rPr>
            </w:pPr>
            <w:r>
              <w:rPr>
                <w:rFonts w:hint="eastAsia" w:ascii="黑体" w:hAnsi="宋体" w:eastAsia="黑体" w:cs="黑体"/>
                <w:color w:val="000000"/>
                <w:kern w:val="0"/>
                <w:sz w:val="32"/>
                <w:szCs w:val="32"/>
              </w:rPr>
              <w:t>财政拨款收入支出决算总表</w:t>
            </w:r>
          </w:p>
        </w:tc>
      </w:tr>
      <w:tr>
        <w:tblPrEx>
          <w:tblCellMar>
            <w:top w:w="0" w:type="dxa"/>
            <w:left w:w="0" w:type="dxa"/>
            <w:bottom w:w="0" w:type="dxa"/>
            <w:right w:w="0" w:type="dxa"/>
          </w:tblCellMar>
        </w:tblPrEx>
        <w:trPr>
          <w:trHeight w:val="210" w:hRule="atLeast"/>
          <w:jc w:val="center"/>
        </w:trPr>
        <w:tc>
          <w:tcPr>
            <w:tcW w:w="276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5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21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5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296" w:type="dxa"/>
            <w:gridSpan w:val="4"/>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color w:val="000000"/>
                <w:kern w:val="0"/>
                <w:sz w:val="20"/>
                <w:szCs w:val="20"/>
              </w:rPr>
            </w:pPr>
            <w:r>
              <w:rPr>
                <w:rFonts w:hint="eastAsia" w:ascii="宋体" w:hAnsi="宋体"/>
                <w:color w:val="000000"/>
                <w:kern w:val="0"/>
                <w:sz w:val="20"/>
                <w:szCs w:val="20"/>
              </w:rPr>
              <w:t>公开04表</w:t>
            </w:r>
          </w:p>
        </w:tc>
      </w:tr>
      <w:tr>
        <w:tblPrEx>
          <w:tblCellMar>
            <w:top w:w="0" w:type="dxa"/>
            <w:left w:w="0" w:type="dxa"/>
            <w:bottom w:w="0" w:type="dxa"/>
            <w:right w:w="0" w:type="dxa"/>
          </w:tblCellMar>
        </w:tblPrEx>
        <w:trPr>
          <w:trHeight w:val="210" w:hRule="atLeast"/>
          <w:jc w:val="center"/>
        </w:trPr>
        <w:tc>
          <w:tcPr>
            <w:tcW w:w="4186"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r>
              <w:rPr>
                <w:rFonts w:hint="eastAsia" w:ascii="宋体" w:hAnsi="宋体"/>
                <w:color w:val="000000"/>
                <w:kern w:val="0"/>
                <w:sz w:val="20"/>
                <w:szCs w:val="20"/>
              </w:rPr>
              <w:t>部门：</w:t>
            </w:r>
            <w:r>
              <w:rPr>
                <w:rFonts w:hint="eastAsia" w:ascii="宋体" w:hAnsi="宋体"/>
                <w:color w:val="000000"/>
                <w:kern w:val="0"/>
                <w:sz w:val="20"/>
                <w:szCs w:val="20"/>
                <w:lang w:val="en-US" w:eastAsia="zh-CN"/>
              </w:rPr>
              <w:t>中国共产主义青年团张家口市委员会</w:t>
            </w:r>
          </w:p>
        </w:tc>
        <w:tc>
          <w:tcPr>
            <w:tcW w:w="321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5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296" w:type="dxa"/>
            <w:gridSpan w:val="4"/>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color w:val="000000"/>
                <w:kern w:val="0"/>
                <w:sz w:val="20"/>
                <w:szCs w:val="20"/>
              </w:rPr>
            </w:pPr>
            <w:r>
              <w:rPr>
                <w:rFonts w:hint="eastAsia" w:ascii="宋体" w:hAnsi="宋体"/>
                <w:color w:val="000000"/>
                <w:kern w:val="0"/>
                <w:sz w:val="20"/>
                <w:szCs w:val="20"/>
              </w:rPr>
              <w:t>金额单位：万元</w:t>
            </w:r>
          </w:p>
        </w:tc>
      </w:tr>
      <w:tr>
        <w:tblPrEx>
          <w:tblCellMar>
            <w:top w:w="0" w:type="dxa"/>
            <w:left w:w="0" w:type="dxa"/>
            <w:bottom w:w="0" w:type="dxa"/>
            <w:right w:w="0" w:type="dxa"/>
          </w:tblCellMar>
        </w:tblPrEx>
        <w:trPr>
          <w:trHeight w:val="217" w:hRule="atLeast"/>
          <w:jc w:val="center"/>
        </w:trPr>
        <w:tc>
          <w:tcPr>
            <w:tcW w:w="41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收     入</w:t>
            </w:r>
          </w:p>
        </w:tc>
        <w:tc>
          <w:tcPr>
            <w:tcW w:w="6960"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sz w:val="22"/>
              </w:rPr>
              <w:t>支     出</w:t>
            </w:r>
          </w:p>
        </w:tc>
      </w:tr>
      <w:tr>
        <w:tblPrEx>
          <w:tblCellMar>
            <w:top w:w="0" w:type="dxa"/>
            <w:left w:w="0" w:type="dxa"/>
            <w:bottom w:w="0" w:type="dxa"/>
            <w:right w:w="0" w:type="dxa"/>
          </w:tblCellMar>
        </w:tblPrEx>
        <w:trPr>
          <w:trHeight w:val="1370" w:hRule="atLeast"/>
          <w:jc w:val="center"/>
        </w:trPr>
        <w:tc>
          <w:tcPr>
            <w:tcW w:w="27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项目</w:t>
            </w:r>
          </w:p>
        </w:tc>
        <w:tc>
          <w:tcPr>
            <w:tcW w:w="6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行次</w:t>
            </w:r>
          </w:p>
          <w:p>
            <w:pPr>
              <w:widowControl/>
              <w:jc w:val="center"/>
              <w:textAlignment w:val="center"/>
            </w:pP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金额</w:t>
            </w:r>
          </w:p>
          <w:p>
            <w:pPr>
              <w:widowControl/>
              <w:jc w:val="center"/>
              <w:textAlignment w:val="center"/>
            </w:pPr>
          </w:p>
        </w:tc>
        <w:tc>
          <w:tcPr>
            <w:tcW w:w="32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项目</w:t>
            </w:r>
          </w:p>
          <w:p>
            <w:pPr>
              <w:widowControl/>
              <w:jc w:val="center"/>
              <w:textAlignment w:val="center"/>
            </w:pPr>
          </w:p>
        </w:tc>
        <w:tc>
          <w:tcPr>
            <w:tcW w:w="4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行次</w:t>
            </w:r>
          </w:p>
          <w:p>
            <w:pPr>
              <w:widowControl/>
              <w:jc w:val="center"/>
              <w:textAlignment w:val="center"/>
            </w:pPr>
          </w:p>
        </w:tc>
        <w:tc>
          <w:tcPr>
            <w:tcW w:w="9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pPr>
            <w:r>
              <w:rPr>
                <w:rFonts w:hint="eastAsia"/>
              </w:rPr>
              <w:t>合计</w:t>
            </w:r>
          </w:p>
          <w:p>
            <w:pPr>
              <w:widowControl/>
              <w:jc w:val="center"/>
              <w:textAlignment w:val="center"/>
            </w:pPr>
          </w:p>
        </w:tc>
        <w:tc>
          <w:tcPr>
            <w:tcW w:w="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一般公共预算财政拨款</w:t>
            </w:r>
          </w:p>
          <w:p>
            <w:pPr>
              <w:widowControl/>
              <w:jc w:val="center"/>
              <w:textAlignment w:val="center"/>
            </w:pP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政府性基金预算财政拨款</w:t>
            </w:r>
          </w:p>
          <w:p>
            <w:pPr>
              <w:widowControl/>
              <w:jc w:val="center"/>
              <w:textAlignment w:val="cente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国有资本经营预算财政拨款</w:t>
            </w:r>
          </w:p>
          <w:p>
            <w:pPr>
              <w:widowControl/>
              <w:jc w:val="center"/>
              <w:textAlignment w:val="center"/>
            </w:pPr>
          </w:p>
        </w:tc>
      </w:tr>
      <w:tr>
        <w:tblPrEx>
          <w:tblCellMar>
            <w:top w:w="0" w:type="dxa"/>
            <w:left w:w="0" w:type="dxa"/>
            <w:bottom w:w="0" w:type="dxa"/>
            <w:right w:w="0" w:type="dxa"/>
          </w:tblCellMar>
        </w:tblPrEx>
        <w:trPr>
          <w:trHeight w:val="210" w:hRule="atLeast"/>
          <w:jc w:val="center"/>
        </w:trPr>
        <w:tc>
          <w:tcPr>
            <w:tcW w:w="27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栏次</w:t>
            </w:r>
          </w:p>
        </w:tc>
        <w:tc>
          <w:tcPr>
            <w:tcW w:w="6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1</w:t>
            </w: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栏次</w:t>
            </w:r>
          </w:p>
        </w:tc>
        <w:tc>
          <w:tcPr>
            <w:tcW w:w="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9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2</w:t>
            </w: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3</w:t>
            </w: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4</w:t>
            </w: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pPr>
            <w:r>
              <w:rPr>
                <w:rFonts w:hint="eastAsia"/>
              </w:rPr>
              <w:t>5</w:t>
            </w:r>
          </w:p>
        </w:tc>
      </w:tr>
      <w:tr>
        <w:tblPrEx>
          <w:tblCellMar>
            <w:top w:w="0" w:type="dxa"/>
            <w:left w:w="0" w:type="dxa"/>
            <w:bottom w:w="0" w:type="dxa"/>
            <w:right w:w="0" w:type="dxa"/>
          </w:tblCellMar>
        </w:tblPrEx>
        <w:trPr>
          <w:trHeight w:val="210" w:hRule="atLeast"/>
          <w:jc w:val="center"/>
        </w:trPr>
        <w:tc>
          <w:tcPr>
            <w:tcW w:w="27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 w:val="22"/>
              </w:rPr>
            </w:pPr>
            <w:r>
              <w:rPr>
                <w:rFonts w:hint="eastAsia"/>
              </w:rPr>
              <w:t>一、一般公共预算财政拨款</w:t>
            </w:r>
          </w:p>
        </w:tc>
        <w:tc>
          <w:tcPr>
            <w:tcW w:w="6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1</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olor w:val="000000"/>
                <w:sz w:val="22"/>
                <w:lang w:val="en-US" w:eastAsia="zh-CN"/>
              </w:rPr>
            </w:pPr>
            <w:r>
              <w:rPr>
                <w:rFonts w:hint="eastAsia" w:ascii="宋体" w:hAnsi="宋体"/>
                <w:color w:val="000000"/>
                <w:sz w:val="22"/>
                <w:lang w:val="en-US" w:eastAsia="zh-CN"/>
              </w:rPr>
              <w:t>569.10</w:t>
            </w: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 w:val="22"/>
              </w:rPr>
            </w:pPr>
            <w:r>
              <w:rPr>
                <w:rFonts w:hint="eastAsia"/>
              </w:rPr>
              <w:t>一、一般公共服务支出</w:t>
            </w:r>
          </w:p>
        </w:tc>
        <w:tc>
          <w:tcPr>
            <w:tcW w:w="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33</w:t>
            </w:r>
          </w:p>
        </w:tc>
        <w:tc>
          <w:tcPr>
            <w:tcW w:w="9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kern w:val="2"/>
                <w:sz w:val="22"/>
                <w:szCs w:val="22"/>
                <w:lang w:val="en-US" w:eastAsia="zh-CN" w:bidi="ar-SA"/>
              </w:rPr>
            </w:pPr>
            <w:r>
              <w:rPr>
                <w:rFonts w:hint="eastAsia" w:ascii="宋体" w:hAnsi="宋体"/>
                <w:color w:val="000000"/>
                <w:sz w:val="22"/>
                <w:lang w:val="en-US" w:eastAsia="zh-CN"/>
              </w:rPr>
              <w:t>479.53</w:t>
            </w: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olor w:val="000000"/>
                <w:sz w:val="22"/>
                <w:lang w:val="en-US" w:eastAsia="zh-CN"/>
              </w:rPr>
            </w:pPr>
            <w:r>
              <w:rPr>
                <w:rFonts w:hint="eastAsia" w:ascii="宋体" w:hAnsi="宋体"/>
                <w:color w:val="000000"/>
                <w:sz w:val="22"/>
                <w:lang w:val="en-US" w:eastAsia="zh-CN"/>
              </w:rPr>
              <w:t>479.53</w:t>
            </w: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7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 w:val="22"/>
              </w:rPr>
            </w:pPr>
            <w:r>
              <w:rPr>
                <w:rFonts w:hint="eastAsia"/>
              </w:rPr>
              <w:t>二、政府性基金预算财政拨款</w:t>
            </w:r>
          </w:p>
        </w:tc>
        <w:tc>
          <w:tcPr>
            <w:tcW w:w="6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2</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 w:val="22"/>
              </w:rPr>
            </w:pPr>
            <w:r>
              <w:rPr>
                <w:rFonts w:hint="eastAsia"/>
              </w:rPr>
              <w:t>二、外交支出</w:t>
            </w:r>
          </w:p>
        </w:tc>
        <w:tc>
          <w:tcPr>
            <w:tcW w:w="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34</w:t>
            </w:r>
          </w:p>
        </w:tc>
        <w:tc>
          <w:tcPr>
            <w:tcW w:w="9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kern w:val="2"/>
                <w:sz w:val="22"/>
                <w:szCs w:val="22"/>
                <w:lang w:val="en-US" w:eastAsia="zh-CN" w:bidi="ar-SA"/>
              </w:rPr>
            </w:pP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7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r>
              <w:rPr>
                <w:rFonts w:hint="eastAsia"/>
              </w:rPr>
              <w:t>三、国有资本经营财政拨款</w:t>
            </w:r>
          </w:p>
        </w:tc>
        <w:tc>
          <w:tcPr>
            <w:tcW w:w="6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3</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 w:val="22"/>
              </w:rPr>
            </w:pPr>
            <w:r>
              <w:rPr>
                <w:rFonts w:hint="eastAsia"/>
              </w:rPr>
              <w:t>三、国防支出</w:t>
            </w:r>
          </w:p>
        </w:tc>
        <w:tc>
          <w:tcPr>
            <w:tcW w:w="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35</w:t>
            </w:r>
          </w:p>
        </w:tc>
        <w:tc>
          <w:tcPr>
            <w:tcW w:w="9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kern w:val="2"/>
                <w:sz w:val="22"/>
                <w:szCs w:val="22"/>
                <w:lang w:val="en-US" w:eastAsia="zh-CN" w:bidi="ar-SA"/>
              </w:rPr>
            </w:pP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7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6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4</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 w:val="22"/>
              </w:rPr>
            </w:pPr>
            <w:r>
              <w:rPr>
                <w:rFonts w:hint="eastAsia"/>
              </w:rPr>
              <w:t>四、公共安全支出</w:t>
            </w:r>
          </w:p>
        </w:tc>
        <w:tc>
          <w:tcPr>
            <w:tcW w:w="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36</w:t>
            </w:r>
          </w:p>
        </w:tc>
        <w:tc>
          <w:tcPr>
            <w:tcW w:w="9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kern w:val="2"/>
                <w:sz w:val="22"/>
                <w:szCs w:val="22"/>
                <w:lang w:val="en-US" w:eastAsia="zh-CN" w:bidi="ar-SA"/>
              </w:rPr>
            </w:pPr>
            <w:r>
              <w:rPr>
                <w:rFonts w:hint="eastAsia" w:ascii="宋体" w:hAnsi="宋体"/>
                <w:color w:val="000000"/>
                <w:sz w:val="22"/>
                <w:lang w:val="en-US" w:eastAsia="zh-CN"/>
              </w:rPr>
              <w:t>8.15</w:t>
            </w: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olor w:val="000000"/>
                <w:sz w:val="22"/>
                <w:lang w:val="en-US" w:eastAsia="zh-CN"/>
              </w:rPr>
            </w:pPr>
            <w:r>
              <w:rPr>
                <w:rFonts w:hint="eastAsia" w:ascii="宋体" w:hAnsi="宋体"/>
                <w:color w:val="000000"/>
                <w:sz w:val="22"/>
                <w:lang w:val="en-US" w:eastAsia="zh-CN"/>
              </w:rPr>
              <w:t>8.15</w:t>
            </w: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7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6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5</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 w:val="22"/>
              </w:rPr>
            </w:pPr>
            <w:r>
              <w:rPr>
                <w:rFonts w:hint="eastAsia"/>
              </w:rPr>
              <w:t>五、教育支出</w:t>
            </w:r>
          </w:p>
        </w:tc>
        <w:tc>
          <w:tcPr>
            <w:tcW w:w="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37</w:t>
            </w:r>
          </w:p>
        </w:tc>
        <w:tc>
          <w:tcPr>
            <w:tcW w:w="9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kern w:val="2"/>
                <w:sz w:val="22"/>
                <w:szCs w:val="22"/>
                <w:lang w:val="en-US" w:eastAsia="zh-CN" w:bidi="ar-SA"/>
              </w:rPr>
            </w:pP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7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6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6</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 w:val="22"/>
              </w:rPr>
            </w:pPr>
            <w:r>
              <w:rPr>
                <w:rFonts w:hint="eastAsia"/>
              </w:rPr>
              <w:t>六、科学技术支出</w:t>
            </w:r>
          </w:p>
        </w:tc>
        <w:tc>
          <w:tcPr>
            <w:tcW w:w="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38</w:t>
            </w:r>
          </w:p>
        </w:tc>
        <w:tc>
          <w:tcPr>
            <w:tcW w:w="9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kern w:val="2"/>
                <w:sz w:val="22"/>
                <w:szCs w:val="22"/>
                <w:lang w:val="en-US" w:eastAsia="zh-CN" w:bidi="ar-SA"/>
              </w:rPr>
            </w:pP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7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6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7</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 w:val="22"/>
              </w:rPr>
            </w:pPr>
            <w:r>
              <w:rPr>
                <w:rFonts w:hint="eastAsia"/>
              </w:rPr>
              <w:t>七、文化旅游体育与传媒支出</w:t>
            </w:r>
          </w:p>
        </w:tc>
        <w:tc>
          <w:tcPr>
            <w:tcW w:w="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39</w:t>
            </w:r>
          </w:p>
        </w:tc>
        <w:tc>
          <w:tcPr>
            <w:tcW w:w="9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kern w:val="2"/>
                <w:sz w:val="22"/>
                <w:szCs w:val="22"/>
                <w:lang w:val="en-US" w:eastAsia="zh-CN" w:bidi="ar-SA"/>
              </w:rPr>
            </w:pP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7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6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8</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 w:val="22"/>
              </w:rPr>
            </w:pPr>
            <w:r>
              <w:rPr>
                <w:rFonts w:hint="eastAsia"/>
              </w:rPr>
              <w:t>八、社会保障和就业支出</w:t>
            </w:r>
          </w:p>
        </w:tc>
        <w:tc>
          <w:tcPr>
            <w:tcW w:w="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40</w:t>
            </w:r>
          </w:p>
        </w:tc>
        <w:tc>
          <w:tcPr>
            <w:tcW w:w="9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kern w:val="2"/>
                <w:sz w:val="22"/>
                <w:szCs w:val="22"/>
                <w:lang w:val="en-US" w:eastAsia="zh-CN" w:bidi="ar-SA"/>
              </w:rPr>
            </w:pPr>
            <w:r>
              <w:rPr>
                <w:rFonts w:hint="eastAsia" w:ascii="宋体" w:hAnsi="宋体"/>
                <w:color w:val="000000"/>
                <w:sz w:val="22"/>
                <w:lang w:val="en-US" w:eastAsia="zh-CN"/>
              </w:rPr>
              <w:t>45.78</w:t>
            </w: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olor w:val="000000"/>
                <w:sz w:val="22"/>
                <w:lang w:val="en-US" w:eastAsia="zh-CN"/>
              </w:rPr>
            </w:pPr>
            <w:r>
              <w:rPr>
                <w:rFonts w:hint="eastAsia" w:ascii="宋体" w:hAnsi="宋体"/>
                <w:color w:val="000000"/>
                <w:sz w:val="22"/>
                <w:lang w:val="en-US" w:eastAsia="zh-CN"/>
              </w:rPr>
              <w:t>45.78</w:t>
            </w: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7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6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9</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 w:val="22"/>
              </w:rPr>
            </w:pPr>
            <w:r>
              <w:rPr>
                <w:rFonts w:hint="eastAsia"/>
              </w:rPr>
              <w:t>九、卫生健康支出</w:t>
            </w:r>
          </w:p>
        </w:tc>
        <w:tc>
          <w:tcPr>
            <w:tcW w:w="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41</w:t>
            </w:r>
          </w:p>
        </w:tc>
        <w:tc>
          <w:tcPr>
            <w:tcW w:w="9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kern w:val="2"/>
                <w:sz w:val="22"/>
                <w:szCs w:val="22"/>
                <w:lang w:val="en-US" w:eastAsia="zh-CN" w:bidi="ar-SA"/>
              </w:rPr>
            </w:pPr>
            <w:r>
              <w:rPr>
                <w:rFonts w:hint="eastAsia" w:ascii="宋体" w:hAnsi="宋体"/>
                <w:color w:val="000000"/>
                <w:sz w:val="22"/>
                <w:lang w:val="en-US" w:eastAsia="zh-CN"/>
              </w:rPr>
              <w:t>28.08</w:t>
            </w: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olor w:val="000000"/>
                <w:sz w:val="22"/>
                <w:lang w:val="en-US" w:eastAsia="zh-CN"/>
              </w:rPr>
            </w:pPr>
            <w:r>
              <w:rPr>
                <w:rFonts w:hint="eastAsia" w:ascii="宋体" w:hAnsi="宋体"/>
                <w:color w:val="000000"/>
                <w:sz w:val="22"/>
                <w:lang w:val="en-US" w:eastAsia="zh-CN"/>
              </w:rPr>
              <w:t>28.08</w:t>
            </w: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7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6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10</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 w:val="22"/>
              </w:rPr>
            </w:pPr>
            <w:r>
              <w:rPr>
                <w:rFonts w:hint="eastAsia"/>
              </w:rPr>
              <w:t>十、节能环保支出</w:t>
            </w:r>
          </w:p>
        </w:tc>
        <w:tc>
          <w:tcPr>
            <w:tcW w:w="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42</w:t>
            </w:r>
          </w:p>
        </w:tc>
        <w:tc>
          <w:tcPr>
            <w:tcW w:w="9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kern w:val="2"/>
                <w:sz w:val="22"/>
                <w:szCs w:val="22"/>
                <w:lang w:val="en-US" w:eastAsia="zh-CN" w:bidi="ar-SA"/>
              </w:rPr>
            </w:pP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7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6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11</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 w:val="22"/>
              </w:rPr>
            </w:pPr>
            <w:r>
              <w:rPr>
                <w:rFonts w:hint="eastAsia"/>
              </w:rPr>
              <w:t>十一、城乡社区支出</w:t>
            </w:r>
          </w:p>
        </w:tc>
        <w:tc>
          <w:tcPr>
            <w:tcW w:w="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43</w:t>
            </w:r>
          </w:p>
        </w:tc>
        <w:tc>
          <w:tcPr>
            <w:tcW w:w="9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kern w:val="2"/>
                <w:sz w:val="22"/>
                <w:szCs w:val="22"/>
                <w:lang w:val="en-US" w:eastAsia="zh-CN" w:bidi="ar-SA"/>
              </w:rPr>
            </w:pP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7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6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12</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 w:val="22"/>
              </w:rPr>
            </w:pPr>
            <w:r>
              <w:rPr>
                <w:rFonts w:hint="eastAsia"/>
              </w:rPr>
              <w:t>十二、农林水支出</w:t>
            </w:r>
          </w:p>
        </w:tc>
        <w:tc>
          <w:tcPr>
            <w:tcW w:w="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44</w:t>
            </w:r>
          </w:p>
        </w:tc>
        <w:tc>
          <w:tcPr>
            <w:tcW w:w="9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kern w:val="2"/>
                <w:sz w:val="22"/>
                <w:szCs w:val="22"/>
                <w:lang w:val="en-US" w:eastAsia="zh-CN" w:bidi="ar-SA"/>
              </w:rPr>
            </w:pP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7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6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13</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 w:val="22"/>
              </w:rPr>
            </w:pPr>
            <w:r>
              <w:rPr>
                <w:rFonts w:hint="eastAsia"/>
              </w:rPr>
              <w:t>十三、交通运输支出</w:t>
            </w:r>
          </w:p>
        </w:tc>
        <w:tc>
          <w:tcPr>
            <w:tcW w:w="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45</w:t>
            </w:r>
          </w:p>
        </w:tc>
        <w:tc>
          <w:tcPr>
            <w:tcW w:w="9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kern w:val="2"/>
                <w:sz w:val="22"/>
                <w:szCs w:val="22"/>
                <w:lang w:val="en-US" w:eastAsia="zh-CN" w:bidi="ar-SA"/>
              </w:rPr>
            </w:pP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7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6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14</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 w:val="22"/>
              </w:rPr>
            </w:pPr>
            <w:r>
              <w:rPr>
                <w:rFonts w:hint="eastAsia"/>
              </w:rPr>
              <w:t>十四、资源勘探工业信息等支出</w:t>
            </w:r>
          </w:p>
        </w:tc>
        <w:tc>
          <w:tcPr>
            <w:tcW w:w="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46</w:t>
            </w:r>
          </w:p>
        </w:tc>
        <w:tc>
          <w:tcPr>
            <w:tcW w:w="9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kern w:val="2"/>
                <w:sz w:val="22"/>
                <w:szCs w:val="22"/>
                <w:lang w:val="en-US" w:eastAsia="zh-CN" w:bidi="ar-SA"/>
              </w:rPr>
            </w:pP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7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6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15</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 w:val="22"/>
              </w:rPr>
            </w:pPr>
            <w:r>
              <w:rPr>
                <w:rFonts w:hint="eastAsia"/>
              </w:rPr>
              <w:t>十五、商业服务业等支出</w:t>
            </w:r>
          </w:p>
        </w:tc>
        <w:tc>
          <w:tcPr>
            <w:tcW w:w="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47</w:t>
            </w:r>
          </w:p>
        </w:tc>
        <w:tc>
          <w:tcPr>
            <w:tcW w:w="9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kern w:val="2"/>
                <w:sz w:val="22"/>
                <w:szCs w:val="22"/>
                <w:lang w:val="en-US" w:eastAsia="zh-CN" w:bidi="ar-SA"/>
              </w:rPr>
            </w:pP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7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6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16</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 w:val="22"/>
              </w:rPr>
            </w:pPr>
            <w:r>
              <w:rPr>
                <w:rFonts w:hint="eastAsia"/>
              </w:rPr>
              <w:t>十六、金融支出</w:t>
            </w:r>
          </w:p>
        </w:tc>
        <w:tc>
          <w:tcPr>
            <w:tcW w:w="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48</w:t>
            </w:r>
          </w:p>
        </w:tc>
        <w:tc>
          <w:tcPr>
            <w:tcW w:w="9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kern w:val="2"/>
                <w:sz w:val="22"/>
                <w:szCs w:val="22"/>
                <w:lang w:val="en-US" w:eastAsia="zh-CN" w:bidi="ar-SA"/>
              </w:rPr>
            </w:pP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7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6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17</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 w:val="22"/>
              </w:rPr>
            </w:pPr>
            <w:r>
              <w:rPr>
                <w:rFonts w:hint="eastAsia"/>
              </w:rPr>
              <w:t>十七、援助其他地区支出</w:t>
            </w:r>
          </w:p>
        </w:tc>
        <w:tc>
          <w:tcPr>
            <w:tcW w:w="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49</w:t>
            </w:r>
          </w:p>
        </w:tc>
        <w:tc>
          <w:tcPr>
            <w:tcW w:w="9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kern w:val="2"/>
                <w:sz w:val="22"/>
                <w:szCs w:val="22"/>
                <w:lang w:val="en-US" w:eastAsia="zh-CN" w:bidi="ar-SA"/>
              </w:rPr>
            </w:pP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89" w:hRule="atLeast"/>
          <w:jc w:val="center"/>
        </w:trPr>
        <w:tc>
          <w:tcPr>
            <w:tcW w:w="27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6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18</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Cs w:val="21"/>
              </w:rPr>
            </w:pP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r>
              <w:rPr>
                <w:rFonts w:hint="eastAsia"/>
              </w:rPr>
              <w:t>十八、自然资源海洋气象等支出</w:t>
            </w:r>
          </w:p>
        </w:tc>
        <w:tc>
          <w:tcPr>
            <w:tcW w:w="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50</w:t>
            </w:r>
          </w:p>
        </w:tc>
        <w:tc>
          <w:tcPr>
            <w:tcW w:w="9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kern w:val="2"/>
                <w:sz w:val="22"/>
                <w:szCs w:val="22"/>
                <w:lang w:val="en-US" w:eastAsia="zh-CN" w:bidi="ar-SA"/>
              </w:rPr>
            </w:pP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7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6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19</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 w:val="22"/>
              </w:rPr>
            </w:pPr>
            <w:r>
              <w:rPr>
                <w:rFonts w:hint="eastAsia"/>
              </w:rPr>
              <w:t>十九、住房保障支出</w:t>
            </w:r>
          </w:p>
        </w:tc>
        <w:tc>
          <w:tcPr>
            <w:tcW w:w="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51</w:t>
            </w:r>
          </w:p>
        </w:tc>
        <w:tc>
          <w:tcPr>
            <w:tcW w:w="9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kern w:val="2"/>
                <w:sz w:val="22"/>
                <w:szCs w:val="22"/>
                <w:lang w:val="en-US" w:eastAsia="zh-CN" w:bidi="ar-SA"/>
              </w:rPr>
            </w:pPr>
            <w:r>
              <w:rPr>
                <w:rFonts w:hint="eastAsia" w:ascii="宋体" w:hAnsi="宋体"/>
                <w:color w:val="000000"/>
                <w:sz w:val="22"/>
                <w:lang w:val="en-US" w:eastAsia="zh-CN"/>
              </w:rPr>
              <w:t>27.86</w:t>
            </w: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olor w:val="000000"/>
                <w:sz w:val="22"/>
                <w:lang w:val="en-US" w:eastAsia="zh-CN"/>
              </w:rPr>
            </w:pPr>
            <w:r>
              <w:rPr>
                <w:rFonts w:hint="eastAsia" w:ascii="宋体" w:hAnsi="宋体"/>
                <w:color w:val="000000"/>
                <w:sz w:val="22"/>
                <w:lang w:val="en-US" w:eastAsia="zh-CN"/>
              </w:rPr>
              <w:t>27.86</w:t>
            </w: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7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6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20</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 w:val="22"/>
              </w:rPr>
            </w:pPr>
            <w:r>
              <w:rPr>
                <w:rFonts w:hint="eastAsia"/>
              </w:rPr>
              <w:t>二十、粮油物资储备支出</w:t>
            </w:r>
          </w:p>
        </w:tc>
        <w:tc>
          <w:tcPr>
            <w:tcW w:w="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52</w:t>
            </w:r>
          </w:p>
        </w:tc>
        <w:tc>
          <w:tcPr>
            <w:tcW w:w="9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kern w:val="2"/>
                <w:sz w:val="22"/>
                <w:szCs w:val="22"/>
                <w:lang w:val="en-US" w:eastAsia="zh-CN" w:bidi="ar-SA"/>
              </w:rPr>
            </w:pP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7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6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21</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kern w:val="0"/>
                <w:sz w:val="20"/>
                <w:szCs w:val="20"/>
              </w:rPr>
            </w:pPr>
            <w:r>
              <w:rPr>
                <w:rFonts w:hint="eastAsia"/>
              </w:rPr>
              <w:t>二十一、国有资本经营预算支出</w:t>
            </w:r>
          </w:p>
        </w:tc>
        <w:tc>
          <w:tcPr>
            <w:tcW w:w="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53</w:t>
            </w:r>
          </w:p>
        </w:tc>
        <w:tc>
          <w:tcPr>
            <w:tcW w:w="9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kern w:val="2"/>
                <w:sz w:val="22"/>
                <w:szCs w:val="22"/>
                <w:lang w:val="en-US" w:eastAsia="zh-CN" w:bidi="ar-SA"/>
              </w:rPr>
            </w:pP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7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6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22</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r>
              <w:rPr>
                <w:rFonts w:hint="eastAsia"/>
              </w:rPr>
              <w:t>二十二、灾害防治及应急管理支出</w:t>
            </w:r>
          </w:p>
        </w:tc>
        <w:tc>
          <w:tcPr>
            <w:tcW w:w="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54</w:t>
            </w:r>
          </w:p>
        </w:tc>
        <w:tc>
          <w:tcPr>
            <w:tcW w:w="9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kern w:val="2"/>
                <w:sz w:val="22"/>
                <w:szCs w:val="22"/>
                <w:lang w:val="en-US" w:eastAsia="zh-CN" w:bidi="ar-SA"/>
              </w:rPr>
            </w:pP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7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6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23</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 w:val="22"/>
              </w:rPr>
            </w:pPr>
            <w:r>
              <w:rPr>
                <w:rFonts w:hint="eastAsia"/>
              </w:rPr>
              <w:t>二十三、其他支出</w:t>
            </w:r>
          </w:p>
        </w:tc>
        <w:tc>
          <w:tcPr>
            <w:tcW w:w="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55</w:t>
            </w:r>
          </w:p>
        </w:tc>
        <w:tc>
          <w:tcPr>
            <w:tcW w:w="9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kern w:val="2"/>
                <w:sz w:val="22"/>
                <w:szCs w:val="22"/>
                <w:lang w:val="en-US" w:eastAsia="zh-CN" w:bidi="ar-SA"/>
              </w:rPr>
            </w:pP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7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6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24</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 w:val="22"/>
              </w:rPr>
            </w:pPr>
            <w:r>
              <w:rPr>
                <w:rFonts w:hint="eastAsia"/>
              </w:rPr>
              <w:t>二十四、债务还本支出</w:t>
            </w:r>
          </w:p>
        </w:tc>
        <w:tc>
          <w:tcPr>
            <w:tcW w:w="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56</w:t>
            </w:r>
          </w:p>
        </w:tc>
        <w:tc>
          <w:tcPr>
            <w:tcW w:w="9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kern w:val="2"/>
                <w:sz w:val="22"/>
                <w:szCs w:val="22"/>
                <w:lang w:val="en-US" w:eastAsia="zh-CN" w:bidi="ar-SA"/>
              </w:rPr>
            </w:pP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7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b/>
                <w:color w:val="000000"/>
                <w:sz w:val="22"/>
              </w:rPr>
            </w:pPr>
          </w:p>
        </w:tc>
        <w:tc>
          <w:tcPr>
            <w:tcW w:w="6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25</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b/>
                <w:color w:val="000000"/>
                <w:sz w:val="22"/>
              </w:rPr>
            </w:pPr>
            <w:r>
              <w:rPr>
                <w:rFonts w:hint="eastAsia"/>
              </w:rPr>
              <w:t>二十五、债务付息支出</w:t>
            </w:r>
          </w:p>
        </w:tc>
        <w:tc>
          <w:tcPr>
            <w:tcW w:w="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57</w:t>
            </w:r>
          </w:p>
        </w:tc>
        <w:tc>
          <w:tcPr>
            <w:tcW w:w="9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kern w:val="2"/>
                <w:sz w:val="22"/>
                <w:szCs w:val="22"/>
                <w:lang w:val="en-US" w:eastAsia="zh-CN" w:bidi="ar-SA"/>
              </w:rPr>
            </w:pP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419" w:hRule="atLeast"/>
          <w:jc w:val="center"/>
        </w:trPr>
        <w:tc>
          <w:tcPr>
            <w:tcW w:w="27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 w:val="22"/>
              </w:rPr>
            </w:pPr>
          </w:p>
        </w:tc>
        <w:tc>
          <w:tcPr>
            <w:tcW w:w="6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26</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 w:val="22"/>
              </w:rPr>
            </w:pPr>
            <w:r>
              <w:rPr>
                <w:rFonts w:hint="eastAsia"/>
              </w:rPr>
              <w:t>二十六、抗疫特别国债安排的支出</w:t>
            </w:r>
          </w:p>
        </w:tc>
        <w:tc>
          <w:tcPr>
            <w:tcW w:w="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58</w:t>
            </w:r>
          </w:p>
        </w:tc>
        <w:tc>
          <w:tcPr>
            <w:tcW w:w="9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kern w:val="2"/>
                <w:sz w:val="22"/>
                <w:szCs w:val="22"/>
                <w:lang w:val="en-US" w:eastAsia="zh-CN" w:bidi="ar-SA"/>
              </w:rPr>
            </w:pP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7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 w:val="22"/>
              </w:rPr>
            </w:pPr>
            <w:r>
              <w:rPr>
                <w:rFonts w:hint="eastAsia"/>
              </w:rPr>
              <w:t>本年收入合计</w:t>
            </w:r>
          </w:p>
        </w:tc>
        <w:tc>
          <w:tcPr>
            <w:tcW w:w="6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27</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olor w:val="000000"/>
                <w:sz w:val="22"/>
                <w:lang w:val="en-US" w:eastAsia="zh-CN"/>
              </w:rPr>
            </w:pPr>
            <w:r>
              <w:rPr>
                <w:rFonts w:hint="eastAsia" w:ascii="宋体" w:hAnsi="宋体"/>
                <w:color w:val="000000"/>
                <w:sz w:val="22"/>
                <w:lang w:val="en-US" w:eastAsia="zh-CN"/>
              </w:rPr>
              <w:t>569.10</w:t>
            </w: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r>
              <w:rPr>
                <w:rFonts w:hint="eastAsia"/>
              </w:rPr>
              <w:t>本年支出合计</w:t>
            </w:r>
          </w:p>
        </w:tc>
        <w:tc>
          <w:tcPr>
            <w:tcW w:w="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59</w:t>
            </w:r>
          </w:p>
        </w:tc>
        <w:tc>
          <w:tcPr>
            <w:tcW w:w="9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kern w:val="2"/>
                <w:sz w:val="22"/>
                <w:szCs w:val="22"/>
                <w:lang w:val="en-US" w:eastAsia="zh-CN" w:bidi="ar-SA"/>
              </w:rPr>
            </w:pPr>
            <w:r>
              <w:rPr>
                <w:rFonts w:hint="eastAsia" w:ascii="宋体" w:hAnsi="宋体"/>
                <w:color w:val="000000"/>
                <w:sz w:val="22"/>
                <w:lang w:val="en-US" w:eastAsia="zh-CN"/>
              </w:rPr>
              <w:t>589.40</w:t>
            </w: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olor w:val="000000"/>
                <w:sz w:val="22"/>
                <w:lang w:val="en-US" w:eastAsia="zh-CN"/>
              </w:rPr>
            </w:pPr>
            <w:r>
              <w:rPr>
                <w:rFonts w:hint="eastAsia" w:ascii="宋体" w:hAnsi="宋体"/>
                <w:color w:val="000000"/>
                <w:sz w:val="22"/>
                <w:lang w:val="en-US" w:eastAsia="zh-CN"/>
              </w:rPr>
              <w:t>589.40</w:t>
            </w: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7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 w:val="22"/>
              </w:rPr>
            </w:pPr>
            <w:r>
              <w:rPr>
                <w:rFonts w:hint="eastAsia"/>
              </w:rPr>
              <w:t>年初财政拨款结转和结余</w:t>
            </w:r>
          </w:p>
        </w:tc>
        <w:tc>
          <w:tcPr>
            <w:tcW w:w="6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28</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olor w:val="000000"/>
                <w:sz w:val="22"/>
                <w:lang w:val="en-US" w:eastAsia="zh-CN"/>
              </w:rPr>
            </w:pPr>
            <w:r>
              <w:rPr>
                <w:rFonts w:hint="eastAsia" w:ascii="宋体" w:hAnsi="宋体"/>
                <w:color w:val="000000"/>
                <w:sz w:val="22"/>
                <w:lang w:val="en-US" w:eastAsia="zh-CN"/>
              </w:rPr>
              <w:t>20.30</w:t>
            </w: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r>
              <w:rPr>
                <w:rFonts w:hint="eastAsia"/>
              </w:rPr>
              <w:t>年末财政拨款结转和结余</w:t>
            </w:r>
          </w:p>
        </w:tc>
        <w:tc>
          <w:tcPr>
            <w:tcW w:w="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60</w:t>
            </w:r>
          </w:p>
        </w:tc>
        <w:tc>
          <w:tcPr>
            <w:tcW w:w="9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kern w:val="2"/>
                <w:sz w:val="22"/>
                <w:szCs w:val="22"/>
                <w:lang w:val="en-US" w:eastAsia="zh-CN" w:bidi="ar-SA"/>
              </w:rPr>
            </w:pP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7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r>
              <w:rPr>
                <w:rFonts w:hint="eastAsia"/>
              </w:rPr>
              <w:t xml:space="preserve">  一般公共预算财政拨款</w:t>
            </w:r>
          </w:p>
        </w:tc>
        <w:tc>
          <w:tcPr>
            <w:tcW w:w="6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29</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61</w:t>
            </w:r>
          </w:p>
        </w:tc>
        <w:tc>
          <w:tcPr>
            <w:tcW w:w="9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kern w:val="2"/>
                <w:sz w:val="22"/>
                <w:szCs w:val="22"/>
                <w:lang w:val="en-US" w:eastAsia="zh-CN" w:bidi="ar-SA"/>
              </w:rPr>
            </w:pP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7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210" w:firstLineChars="100"/>
              <w:textAlignment w:val="center"/>
              <w:rPr>
                <w:rFonts w:ascii="宋体" w:hAnsi="宋体"/>
                <w:b/>
                <w:color w:val="000000"/>
                <w:sz w:val="22"/>
              </w:rPr>
            </w:pPr>
            <w:r>
              <w:rPr>
                <w:rFonts w:hint="eastAsia"/>
              </w:rPr>
              <w:t>政府性基金预算财政拨款</w:t>
            </w:r>
          </w:p>
        </w:tc>
        <w:tc>
          <w:tcPr>
            <w:tcW w:w="6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30</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b/>
                <w:color w:val="000000"/>
                <w:sz w:val="22"/>
              </w:rPr>
            </w:pPr>
          </w:p>
        </w:tc>
        <w:tc>
          <w:tcPr>
            <w:tcW w:w="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62</w:t>
            </w:r>
          </w:p>
        </w:tc>
        <w:tc>
          <w:tcPr>
            <w:tcW w:w="9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kern w:val="2"/>
                <w:sz w:val="22"/>
                <w:szCs w:val="22"/>
                <w:lang w:val="en-US" w:eastAsia="zh-CN" w:bidi="ar-SA"/>
              </w:rPr>
            </w:pP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90" w:hRule="atLeast"/>
          <w:jc w:val="center"/>
        </w:trPr>
        <w:tc>
          <w:tcPr>
            <w:tcW w:w="27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210" w:firstLineChars="100"/>
              <w:textAlignment w:val="center"/>
              <w:rPr>
                <w:rFonts w:ascii="宋体" w:hAnsi="宋体"/>
                <w:b/>
                <w:color w:val="000000"/>
                <w:kern w:val="0"/>
                <w:sz w:val="22"/>
              </w:rPr>
            </w:pPr>
            <w:r>
              <w:rPr>
                <w:rFonts w:hint="eastAsia"/>
              </w:rPr>
              <w:t>国有资本经营预算财政拨款</w:t>
            </w:r>
          </w:p>
        </w:tc>
        <w:tc>
          <w:tcPr>
            <w:tcW w:w="6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kern w:val="0"/>
                <w:sz w:val="22"/>
              </w:rPr>
            </w:pPr>
            <w:r>
              <w:rPr>
                <w:rFonts w:hint="eastAsia"/>
              </w:rPr>
              <w:t>31</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b/>
                <w:color w:val="000000"/>
                <w:kern w:val="0"/>
                <w:sz w:val="22"/>
              </w:rPr>
            </w:pPr>
          </w:p>
        </w:tc>
        <w:tc>
          <w:tcPr>
            <w:tcW w:w="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kern w:val="0"/>
                <w:sz w:val="22"/>
              </w:rPr>
            </w:pPr>
            <w:r>
              <w:rPr>
                <w:rFonts w:hint="eastAsia"/>
              </w:rPr>
              <w:t>63</w:t>
            </w:r>
          </w:p>
        </w:tc>
        <w:tc>
          <w:tcPr>
            <w:tcW w:w="9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kern w:val="2"/>
                <w:sz w:val="22"/>
                <w:szCs w:val="22"/>
                <w:lang w:val="en-US" w:eastAsia="zh-CN" w:bidi="ar-SA"/>
              </w:rPr>
            </w:pP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152" w:hRule="atLeast"/>
          <w:jc w:val="center"/>
        </w:trPr>
        <w:tc>
          <w:tcPr>
            <w:tcW w:w="27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b/>
                <w:color w:val="000000"/>
                <w:kern w:val="0"/>
                <w:sz w:val="22"/>
              </w:rPr>
            </w:pPr>
            <w:r>
              <w:rPr>
                <w:rFonts w:hint="eastAsia"/>
              </w:rPr>
              <w:t>总计</w:t>
            </w:r>
          </w:p>
        </w:tc>
        <w:tc>
          <w:tcPr>
            <w:tcW w:w="6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kern w:val="0"/>
                <w:sz w:val="22"/>
              </w:rPr>
            </w:pPr>
            <w:r>
              <w:rPr>
                <w:rFonts w:hint="eastAsia"/>
              </w:rPr>
              <w:t>32</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olor w:val="000000"/>
                <w:sz w:val="22"/>
                <w:lang w:val="en-US" w:eastAsia="zh-CN"/>
              </w:rPr>
            </w:pPr>
            <w:r>
              <w:rPr>
                <w:rFonts w:hint="eastAsia" w:ascii="宋体" w:hAnsi="宋体"/>
                <w:color w:val="000000"/>
                <w:sz w:val="22"/>
                <w:lang w:val="en-US" w:eastAsia="zh-CN"/>
              </w:rPr>
              <w:t>589.40</w:t>
            </w: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b/>
                <w:color w:val="000000"/>
                <w:kern w:val="0"/>
                <w:sz w:val="22"/>
              </w:rPr>
            </w:pPr>
            <w:r>
              <w:rPr>
                <w:rFonts w:hint="eastAsia"/>
              </w:rPr>
              <w:t>总计</w:t>
            </w:r>
          </w:p>
        </w:tc>
        <w:tc>
          <w:tcPr>
            <w:tcW w:w="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kern w:val="0"/>
                <w:sz w:val="22"/>
              </w:rPr>
            </w:pPr>
            <w:r>
              <w:rPr>
                <w:rFonts w:hint="eastAsia"/>
              </w:rPr>
              <w:t>64</w:t>
            </w:r>
          </w:p>
        </w:tc>
        <w:tc>
          <w:tcPr>
            <w:tcW w:w="9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kern w:val="2"/>
                <w:sz w:val="22"/>
                <w:szCs w:val="22"/>
                <w:lang w:val="en-US" w:eastAsia="zh-CN" w:bidi="ar-SA"/>
              </w:rPr>
            </w:pPr>
            <w:r>
              <w:rPr>
                <w:rFonts w:hint="eastAsia" w:ascii="宋体" w:hAnsi="宋体"/>
                <w:color w:val="000000"/>
                <w:sz w:val="22"/>
                <w:lang w:val="en-US" w:eastAsia="zh-CN"/>
              </w:rPr>
              <w:t>589.40</w:t>
            </w: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olor w:val="000000"/>
                <w:sz w:val="22"/>
                <w:lang w:val="en-US" w:eastAsia="zh-CN"/>
              </w:rPr>
            </w:pPr>
            <w:r>
              <w:rPr>
                <w:rFonts w:hint="eastAsia" w:ascii="宋体" w:hAnsi="宋体"/>
                <w:color w:val="000000"/>
                <w:sz w:val="22"/>
                <w:lang w:val="en-US" w:eastAsia="zh-CN"/>
              </w:rPr>
              <w:t>589.40</w:t>
            </w: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11146" w:type="dxa"/>
            <w:gridSpan w:val="9"/>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color w:val="000000"/>
                <w:kern w:val="0"/>
                <w:sz w:val="20"/>
                <w:szCs w:val="20"/>
              </w:rPr>
            </w:pPr>
            <w:r>
              <w:rPr>
                <w:rFonts w:hint="eastAsia" w:ascii="宋体" w:hAnsi="宋体"/>
                <w:color w:val="000000"/>
                <w:kern w:val="0"/>
                <w:sz w:val="20"/>
                <w:szCs w:val="20"/>
              </w:rPr>
              <w:t>注：本表反映部门本年度一般公共预算财政拨款、政府性基金预算财政拨款和国有资本经营预算财政拨款的总收支和年末结转结余情况。</w:t>
            </w:r>
            <w:r>
              <w:rPr>
                <w:rFonts w:hint="eastAsia" w:ascii="宋体" w:hAnsi="宋体"/>
                <w:color w:val="000000"/>
                <w:kern w:val="0"/>
                <w:sz w:val="20"/>
                <w:szCs w:val="20"/>
              </w:rPr>
              <w:tab/>
            </w:r>
            <w:r>
              <w:rPr>
                <w:rFonts w:hint="eastAsia" w:ascii="宋体" w:hAnsi="宋体"/>
                <w:color w:val="000000"/>
                <w:kern w:val="0"/>
                <w:sz w:val="20"/>
                <w:szCs w:val="20"/>
              </w:rPr>
              <w:tab/>
            </w:r>
            <w:r>
              <w:rPr>
                <w:rFonts w:hint="eastAsia" w:ascii="宋体" w:hAnsi="宋体"/>
                <w:color w:val="000000"/>
                <w:kern w:val="0"/>
                <w:sz w:val="20"/>
                <w:szCs w:val="20"/>
              </w:rPr>
              <w:tab/>
            </w:r>
            <w:r>
              <w:rPr>
                <w:rFonts w:hint="eastAsia" w:ascii="宋体" w:hAnsi="宋体"/>
                <w:color w:val="000000"/>
                <w:kern w:val="0"/>
                <w:sz w:val="20"/>
                <w:szCs w:val="20"/>
              </w:rPr>
              <w:tab/>
            </w:r>
            <w:r>
              <w:rPr>
                <w:rFonts w:hint="eastAsia" w:ascii="宋体" w:hAnsi="宋体"/>
                <w:color w:val="000000"/>
                <w:kern w:val="0"/>
                <w:sz w:val="20"/>
                <w:szCs w:val="20"/>
              </w:rPr>
              <w:tab/>
            </w:r>
            <w:r>
              <w:rPr>
                <w:rFonts w:hint="eastAsia" w:ascii="宋体" w:hAnsi="宋体"/>
                <w:color w:val="000000"/>
                <w:kern w:val="0"/>
                <w:sz w:val="20"/>
                <w:szCs w:val="20"/>
              </w:rPr>
              <w:tab/>
            </w:r>
            <w:r>
              <w:rPr>
                <w:rFonts w:hint="eastAsia" w:ascii="宋体" w:hAnsi="宋体"/>
                <w:color w:val="000000"/>
                <w:kern w:val="0"/>
                <w:sz w:val="20"/>
                <w:szCs w:val="20"/>
              </w:rPr>
              <w:tab/>
            </w:r>
          </w:p>
        </w:tc>
      </w:tr>
    </w:tbl>
    <w:p>
      <w:pPr>
        <w:widowControl/>
        <w:jc w:val="left"/>
        <w:textAlignment w:val="center"/>
        <w:rPr>
          <w:rFonts w:ascii="宋体" w:hAnsi="宋体"/>
          <w:color w:val="000000"/>
          <w:kern w:val="0"/>
          <w:sz w:val="20"/>
          <w:szCs w:val="20"/>
        </w:rPr>
      </w:pPr>
    </w:p>
    <w:tbl>
      <w:tblPr>
        <w:tblStyle w:val="8"/>
        <w:tblW w:w="9600" w:type="dxa"/>
        <w:jc w:val="center"/>
        <w:tblLayout w:type="fixed"/>
        <w:tblCellMar>
          <w:top w:w="0" w:type="dxa"/>
          <w:left w:w="0" w:type="dxa"/>
          <w:bottom w:w="0" w:type="dxa"/>
          <w:right w:w="0" w:type="dxa"/>
        </w:tblCellMar>
      </w:tblPr>
      <w:tblGrid>
        <w:gridCol w:w="1125"/>
        <w:gridCol w:w="90"/>
        <w:gridCol w:w="90"/>
        <w:gridCol w:w="1623"/>
        <w:gridCol w:w="2232"/>
        <w:gridCol w:w="2232"/>
        <w:gridCol w:w="1762"/>
        <w:gridCol w:w="446"/>
      </w:tblGrid>
      <w:tr>
        <w:tblPrEx>
          <w:tblCellMar>
            <w:top w:w="0" w:type="dxa"/>
            <w:left w:w="0" w:type="dxa"/>
            <w:bottom w:w="0" w:type="dxa"/>
            <w:right w:w="0" w:type="dxa"/>
          </w:tblCellMar>
        </w:tblPrEx>
        <w:trPr>
          <w:gridAfter w:val="1"/>
          <w:wAfter w:w="446" w:type="dxa"/>
          <w:trHeight w:val="90" w:hRule="atLeast"/>
          <w:jc w:val="center"/>
        </w:trPr>
        <w:tc>
          <w:tcPr>
            <w:tcW w:w="9154" w:type="dxa"/>
            <w:gridSpan w:val="7"/>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color w:val="000000"/>
                <w:kern w:val="0"/>
                <w:sz w:val="20"/>
                <w:szCs w:val="20"/>
              </w:rPr>
            </w:pPr>
          </w:p>
          <w:p>
            <w:pPr>
              <w:widowControl/>
              <w:jc w:val="left"/>
              <w:textAlignment w:val="center"/>
              <w:rPr>
                <w:rFonts w:ascii="宋体" w:hAnsi="宋体"/>
                <w:color w:val="000000"/>
                <w:kern w:val="0"/>
                <w:sz w:val="20"/>
                <w:szCs w:val="20"/>
              </w:rPr>
            </w:pPr>
          </w:p>
        </w:tc>
      </w:tr>
      <w:tr>
        <w:tblPrEx>
          <w:tblCellMar>
            <w:top w:w="0" w:type="dxa"/>
            <w:left w:w="0" w:type="dxa"/>
            <w:bottom w:w="0" w:type="dxa"/>
            <w:right w:w="0" w:type="dxa"/>
          </w:tblCellMar>
        </w:tblPrEx>
        <w:trPr>
          <w:trHeight w:val="600" w:hRule="atLeast"/>
          <w:jc w:val="center"/>
        </w:trPr>
        <w:tc>
          <w:tcPr>
            <w:tcW w:w="9600" w:type="dxa"/>
            <w:gridSpan w:val="8"/>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一般公共预算财政拨款支出决算表</w:t>
            </w:r>
          </w:p>
        </w:tc>
      </w:tr>
      <w:tr>
        <w:tblPrEx>
          <w:tblCellMar>
            <w:top w:w="0" w:type="dxa"/>
            <w:left w:w="0" w:type="dxa"/>
            <w:bottom w:w="0" w:type="dxa"/>
            <w:right w:w="0" w:type="dxa"/>
          </w:tblCellMar>
        </w:tblPrEx>
        <w:trPr>
          <w:trHeight w:val="255" w:hRule="atLeast"/>
          <w:jc w:val="center"/>
        </w:trPr>
        <w:tc>
          <w:tcPr>
            <w:tcW w:w="112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62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23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440"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color w:val="000000"/>
                <w:sz w:val="20"/>
                <w:szCs w:val="20"/>
              </w:rPr>
            </w:pPr>
            <w:r>
              <w:rPr>
                <w:rFonts w:hint="eastAsia" w:ascii="宋体" w:hAnsi="宋体"/>
                <w:color w:val="000000"/>
                <w:kern w:val="0"/>
                <w:sz w:val="20"/>
                <w:szCs w:val="20"/>
              </w:rPr>
              <w:t>公开05表</w:t>
            </w:r>
          </w:p>
        </w:tc>
      </w:tr>
      <w:tr>
        <w:tblPrEx>
          <w:tblCellMar>
            <w:top w:w="0" w:type="dxa"/>
            <w:left w:w="0" w:type="dxa"/>
            <w:bottom w:w="0" w:type="dxa"/>
            <w:right w:w="0" w:type="dxa"/>
          </w:tblCellMar>
        </w:tblPrEx>
        <w:trPr>
          <w:trHeight w:val="255" w:hRule="atLeast"/>
          <w:jc w:val="center"/>
        </w:trPr>
        <w:tc>
          <w:tcPr>
            <w:tcW w:w="5160" w:type="dxa"/>
            <w:gridSpan w:val="5"/>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r>
              <w:rPr>
                <w:rFonts w:hint="eastAsia" w:ascii="宋体" w:hAnsi="宋体"/>
                <w:color w:val="000000"/>
                <w:kern w:val="0"/>
                <w:sz w:val="20"/>
                <w:szCs w:val="20"/>
              </w:rPr>
              <w:t>部门：</w:t>
            </w:r>
            <w:r>
              <w:rPr>
                <w:rFonts w:hint="eastAsia" w:ascii="宋体" w:hAnsi="宋体"/>
                <w:color w:val="000000"/>
                <w:kern w:val="0"/>
                <w:sz w:val="20"/>
                <w:szCs w:val="20"/>
                <w:lang w:val="en-US" w:eastAsia="zh-CN"/>
              </w:rPr>
              <w:t>中国共产主义青年团张家口市委员会</w:t>
            </w:r>
          </w:p>
        </w:tc>
        <w:tc>
          <w:tcPr>
            <w:tcW w:w="4440"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color w:val="000000"/>
                <w:sz w:val="20"/>
                <w:szCs w:val="20"/>
              </w:rPr>
            </w:pPr>
            <w:r>
              <w:rPr>
                <w:rFonts w:hint="eastAsia" w:ascii="宋体" w:hAnsi="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292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项目</w:t>
            </w:r>
          </w:p>
        </w:tc>
        <w:tc>
          <w:tcPr>
            <w:tcW w:w="6672"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本年支出</w:t>
            </w:r>
          </w:p>
        </w:tc>
      </w:tr>
      <w:tr>
        <w:tblPrEx>
          <w:tblCellMar>
            <w:top w:w="0" w:type="dxa"/>
            <w:left w:w="0" w:type="dxa"/>
            <w:bottom w:w="0" w:type="dxa"/>
            <w:right w:w="0" w:type="dxa"/>
          </w:tblCellMar>
        </w:tblPrEx>
        <w:trPr>
          <w:trHeight w:val="312" w:hRule="atLeast"/>
          <w:jc w:val="center"/>
        </w:trPr>
        <w:tc>
          <w:tcPr>
            <w:tcW w:w="130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功能分类科目编码</w:t>
            </w:r>
          </w:p>
        </w:tc>
        <w:tc>
          <w:tcPr>
            <w:tcW w:w="1623"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科目名称</w:t>
            </w:r>
          </w:p>
        </w:tc>
        <w:tc>
          <w:tcPr>
            <w:tcW w:w="22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小计</w:t>
            </w:r>
          </w:p>
        </w:tc>
        <w:tc>
          <w:tcPr>
            <w:tcW w:w="22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基本支出</w:t>
            </w:r>
          </w:p>
        </w:tc>
        <w:tc>
          <w:tcPr>
            <w:tcW w:w="220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项目支出</w:t>
            </w:r>
          </w:p>
        </w:tc>
      </w:tr>
      <w:tr>
        <w:tblPrEx>
          <w:tblCellMar>
            <w:top w:w="0" w:type="dxa"/>
            <w:left w:w="0" w:type="dxa"/>
            <w:bottom w:w="0" w:type="dxa"/>
            <w:right w:w="0" w:type="dxa"/>
          </w:tblCellMar>
        </w:tblPrEx>
        <w:trPr>
          <w:trHeight w:val="312" w:hRule="atLeast"/>
          <w:jc w:val="center"/>
        </w:trPr>
        <w:tc>
          <w:tcPr>
            <w:tcW w:w="13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623"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22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22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220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r>
      <w:tr>
        <w:tblPrEx>
          <w:tblCellMar>
            <w:top w:w="0" w:type="dxa"/>
            <w:left w:w="0" w:type="dxa"/>
            <w:bottom w:w="0" w:type="dxa"/>
            <w:right w:w="0" w:type="dxa"/>
          </w:tblCellMar>
        </w:tblPrEx>
        <w:trPr>
          <w:trHeight w:val="312" w:hRule="atLeast"/>
          <w:jc w:val="center"/>
        </w:trPr>
        <w:tc>
          <w:tcPr>
            <w:tcW w:w="13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623"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22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22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220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r>
      <w:tr>
        <w:tblPrEx>
          <w:tblCellMar>
            <w:top w:w="0" w:type="dxa"/>
            <w:left w:w="0" w:type="dxa"/>
            <w:bottom w:w="0" w:type="dxa"/>
            <w:right w:w="0" w:type="dxa"/>
          </w:tblCellMar>
        </w:tblPrEx>
        <w:trPr>
          <w:trHeight w:val="308" w:hRule="atLeast"/>
          <w:jc w:val="center"/>
        </w:trPr>
        <w:tc>
          <w:tcPr>
            <w:tcW w:w="292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栏次</w:t>
            </w:r>
          </w:p>
        </w:tc>
        <w:tc>
          <w:tcPr>
            <w:tcW w:w="2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1</w:t>
            </w:r>
          </w:p>
        </w:tc>
        <w:tc>
          <w:tcPr>
            <w:tcW w:w="2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2</w:t>
            </w:r>
          </w:p>
        </w:tc>
        <w:tc>
          <w:tcPr>
            <w:tcW w:w="22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3</w:t>
            </w:r>
          </w:p>
        </w:tc>
      </w:tr>
      <w:tr>
        <w:tblPrEx>
          <w:tblCellMar>
            <w:top w:w="0" w:type="dxa"/>
            <w:left w:w="0" w:type="dxa"/>
            <w:bottom w:w="0" w:type="dxa"/>
            <w:right w:w="0" w:type="dxa"/>
          </w:tblCellMar>
        </w:tblPrEx>
        <w:trPr>
          <w:trHeight w:val="308" w:hRule="atLeast"/>
          <w:jc w:val="center"/>
        </w:trPr>
        <w:tc>
          <w:tcPr>
            <w:tcW w:w="292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合计</w:t>
            </w:r>
          </w:p>
        </w:tc>
        <w:tc>
          <w:tcPr>
            <w:tcW w:w="2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b/>
                <w:color w:val="000000"/>
                <w:sz w:val="22"/>
                <w:lang w:val="en-US"/>
              </w:rPr>
            </w:pPr>
            <w:r>
              <w:rPr>
                <w:rFonts w:hint="eastAsia" w:ascii="宋体" w:hAnsi="宋体"/>
                <w:b/>
                <w:color w:val="000000"/>
                <w:sz w:val="22"/>
                <w:lang w:val="en-US" w:eastAsia="zh-CN"/>
              </w:rPr>
              <w:t>589.40</w:t>
            </w:r>
          </w:p>
        </w:tc>
        <w:tc>
          <w:tcPr>
            <w:tcW w:w="2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b/>
                <w:color w:val="000000"/>
                <w:sz w:val="22"/>
              </w:rPr>
            </w:pPr>
            <w:r>
              <w:rPr>
                <w:rFonts w:hint="eastAsia" w:ascii="宋体" w:hAnsi="宋体"/>
                <w:b/>
                <w:color w:val="000000"/>
                <w:sz w:val="22"/>
                <w:lang w:val="en-US" w:eastAsia="zh-CN"/>
              </w:rPr>
              <w:t>478.21</w:t>
            </w:r>
          </w:p>
        </w:tc>
        <w:tc>
          <w:tcPr>
            <w:tcW w:w="22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b/>
                <w:color w:val="000000"/>
                <w:sz w:val="22"/>
              </w:rPr>
            </w:pPr>
            <w:r>
              <w:rPr>
                <w:rFonts w:hint="eastAsia" w:ascii="宋体" w:hAnsi="宋体"/>
                <w:b/>
                <w:color w:val="000000"/>
                <w:sz w:val="22"/>
                <w:lang w:val="en-US" w:eastAsia="zh-CN"/>
              </w:rPr>
              <w:t>111.19</w:t>
            </w: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201</w:t>
            </w:r>
          </w:p>
        </w:tc>
        <w:tc>
          <w:tcPr>
            <w:tcW w:w="1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一般公共服务支出</w:t>
            </w:r>
          </w:p>
        </w:tc>
        <w:tc>
          <w:tcPr>
            <w:tcW w:w="2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r>
              <w:rPr>
                <w:rFonts w:hint="eastAsia" w:ascii="宋体" w:hAnsi="宋体"/>
                <w:color w:val="000000"/>
                <w:sz w:val="22"/>
                <w:lang w:val="en-US" w:eastAsia="zh-CN"/>
              </w:rPr>
              <w:t>479.53</w:t>
            </w:r>
          </w:p>
        </w:tc>
        <w:tc>
          <w:tcPr>
            <w:tcW w:w="2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r>
              <w:rPr>
                <w:rFonts w:hint="eastAsia" w:ascii="宋体" w:hAnsi="宋体"/>
                <w:color w:val="000000"/>
                <w:sz w:val="22"/>
                <w:lang w:val="en-US" w:eastAsia="zh-CN"/>
              </w:rPr>
              <w:t>376.49</w:t>
            </w:r>
          </w:p>
        </w:tc>
        <w:tc>
          <w:tcPr>
            <w:tcW w:w="22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r>
              <w:rPr>
                <w:rFonts w:hint="eastAsia" w:ascii="宋体" w:hAnsi="宋体"/>
                <w:color w:val="000000"/>
                <w:sz w:val="22"/>
                <w:lang w:val="en-US" w:eastAsia="zh-CN"/>
              </w:rPr>
              <w:t>103.04</w:t>
            </w: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20129</w:t>
            </w:r>
          </w:p>
        </w:tc>
        <w:tc>
          <w:tcPr>
            <w:tcW w:w="1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群众团体事务</w:t>
            </w:r>
          </w:p>
        </w:tc>
        <w:tc>
          <w:tcPr>
            <w:tcW w:w="2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r>
              <w:rPr>
                <w:rFonts w:hint="eastAsia" w:ascii="宋体" w:hAnsi="宋体"/>
                <w:color w:val="000000"/>
                <w:sz w:val="22"/>
                <w:lang w:val="en-US" w:eastAsia="zh-CN"/>
              </w:rPr>
              <w:t>475.17</w:t>
            </w:r>
          </w:p>
        </w:tc>
        <w:tc>
          <w:tcPr>
            <w:tcW w:w="2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r>
              <w:rPr>
                <w:rFonts w:hint="eastAsia" w:ascii="宋体" w:hAnsi="宋体"/>
                <w:color w:val="000000"/>
                <w:sz w:val="22"/>
                <w:lang w:val="en-US" w:eastAsia="zh-CN"/>
              </w:rPr>
              <w:t>376.49</w:t>
            </w:r>
          </w:p>
        </w:tc>
        <w:tc>
          <w:tcPr>
            <w:tcW w:w="22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r>
              <w:rPr>
                <w:rFonts w:hint="eastAsia" w:ascii="宋体" w:hAnsi="宋体"/>
                <w:color w:val="000000"/>
                <w:sz w:val="22"/>
                <w:lang w:val="en-US" w:eastAsia="zh-CN"/>
              </w:rPr>
              <w:t>98.68</w:t>
            </w: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2012901</w:t>
            </w:r>
          </w:p>
        </w:tc>
        <w:tc>
          <w:tcPr>
            <w:tcW w:w="1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 xml:space="preserve">  行政运行</w:t>
            </w:r>
          </w:p>
        </w:tc>
        <w:tc>
          <w:tcPr>
            <w:tcW w:w="2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r>
              <w:rPr>
                <w:rFonts w:hint="eastAsia" w:ascii="宋体" w:hAnsi="宋体"/>
                <w:color w:val="000000"/>
                <w:sz w:val="22"/>
                <w:lang w:val="en-US" w:eastAsia="zh-CN"/>
              </w:rPr>
              <w:t>238.66</w:t>
            </w:r>
          </w:p>
        </w:tc>
        <w:tc>
          <w:tcPr>
            <w:tcW w:w="2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r>
              <w:rPr>
                <w:rFonts w:hint="eastAsia" w:ascii="宋体" w:hAnsi="宋体"/>
                <w:color w:val="000000"/>
                <w:sz w:val="22"/>
                <w:lang w:val="en-US" w:eastAsia="zh-CN"/>
              </w:rPr>
              <w:t>238.66</w:t>
            </w:r>
          </w:p>
        </w:tc>
        <w:tc>
          <w:tcPr>
            <w:tcW w:w="22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2012902</w:t>
            </w:r>
          </w:p>
        </w:tc>
        <w:tc>
          <w:tcPr>
            <w:tcW w:w="1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 xml:space="preserve">  一般行政管理事务</w:t>
            </w:r>
          </w:p>
        </w:tc>
        <w:tc>
          <w:tcPr>
            <w:tcW w:w="2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r>
              <w:rPr>
                <w:rFonts w:hint="eastAsia" w:ascii="宋体" w:hAnsi="宋体"/>
                <w:color w:val="000000"/>
                <w:sz w:val="22"/>
                <w:lang w:val="en-US" w:eastAsia="zh-CN"/>
              </w:rPr>
              <w:t>98.68</w:t>
            </w:r>
          </w:p>
        </w:tc>
        <w:tc>
          <w:tcPr>
            <w:tcW w:w="2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22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r>
              <w:rPr>
                <w:rFonts w:hint="eastAsia" w:ascii="宋体" w:hAnsi="宋体"/>
                <w:color w:val="000000"/>
                <w:sz w:val="22"/>
                <w:lang w:val="en-US" w:eastAsia="zh-CN"/>
              </w:rPr>
              <w:t>98.68</w:t>
            </w: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2012950</w:t>
            </w:r>
          </w:p>
        </w:tc>
        <w:tc>
          <w:tcPr>
            <w:tcW w:w="1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 xml:space="preserve">  事业运行</w:t>
            </w:r>
          </w:p>
        </w:tc>
        <w:tc>
          <w:tcPr>
            <w:tcW w:w="2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r>
              <w:rPr>
                <w:rFonts w:hint="eastAsia" w:ascii="宋体" w:hAnsi="宋体"/>
                <w:color w:val="000000"/>
                <w:sz w:val="22"/>
                <w:lang w:val="en-US" w:eastAsia="zh-CN"/>
              </w:rPr>
              <w:t>137.83</w:t>
            </w:r>
          </w:p>
        </w:tc>
        <w:tc>
          <w:tcPr>
            <w:tcW w:w="2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r>
              <w:rPr>
                <w:rFonts w:hint="eastAsia" w:ascii="宋体" w:hAnsi="宋体"/>
                <w:color w:val="000000"/>
                <w:sz w:val="22"/>
                <w:lang w:val="en-US" w:eastAsia="zh-CN"/>
              </w:rPr>
              <w:t>137.83</w:t>
            </w:r>
          </w:p>
        </w:tc>
        <w:tc>
          <w:tcPr>
            <w:tcW w:w="22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20132</w:t>
            </w:r>
          </w:p>
        </w:tc>
        <w:tc>
          <w:tcPr>
            <w:tcW w:w="1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组织事务</w:t>
            </w:r>
          </w:p>
        </w:tc>
        <w:tc>
          <w:tcPr>
            <w:tcW w:w="2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r>
              <w:rPr>
                <w:rFonts w:hint="eastAsia" w:ascii="宋体" w:hAnsi="宋体"/>
                <w:color w:val="000000"/>
                <w:sz w:val="22"/>
                <w:lang w:val="en-US" w:eastAsia="zh-CN"/>
              </w:rPr>
              <w:t>4.36</w:t>
            </w:r>
          </w:p>
        </w:tc>
        <w:tc>
          <w:tcPr>
            <w:tcW w:w="2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22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r>
              <w:rPr>
                <w:rFonts w:hint="eastAsia" w:ascii="宋体" w:hAnsi="宋体"/>
                <w:color w:val="000000"/>
                <w:sz w:val="22"/>
                <w:lang w:val="en-US" w:eastAsia="zh-CN"/>
              </w:rPr>
              <w:t>4.36</w:t>
            </w: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2013202</w:t>
            </w:r>
          </w:p>
        </w:tc>
        <w:tc>
          <w:tcPr>
            <w:tcW w:w="1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 xml:space="preserve">  一般行政管理事务</w:t>
            </w:r>
          </w:p>
        </w:tc>
        <w:tc>
          <w:tcPr>
            <w:tcW w:w="2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r>
              <w:rPr>
                <w:rFonts w:hint="eastAsia" w:ascii="宋体" w:hAnsi="宋体"/>
                <w:color w:val="000000"/>
                <w:sz w:val="22"/>
                <w:lang w:val="en-US" w:eastAsia="zh-CN"/>
              </w:rPr>
              <w:t>4.36</w:t>
            </w:r>
          </w:p>
        </w:tc>
        <w:tc>
          <w:tcPr>
            <w:tcW w:w="2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22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r>
              <w:rPr>
                <w:rFonts w:hint="eastAsia" w:ascii="宋体" w:hAnsi="宋体"/>
                <w:color w:val="000000"/>
                <w:sz w:val="22"/>
                <w:lang w:val="en-US" w:eastAsia="zh-CN"/>
              </w:rPr>
              <w:t>4.36</w:t>
            </w: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kern w:val="2"/>
                <w:sz w:val="22"/>
                <w:szCs w:val="22"/>
                <w:lang w:val="en-US" w:eastAsia="zh-CN" w:bidi="ar-SA"/>
              </w:rPr>
            </w:pPr>
            <w:r>
              <w:rPr>
                <w:rFonts w:hint="eastAsia" w:ascii="宋体" w:hAnsi="宋体" w:cs="宋体"/>
                <w:color w:val="000000"/>
                <w:kern w:val="2"/>
                <w:sz w:val="22"/>
                <w:szCs w:val="22"/>
                <w:lang w:val="en-US" w:eastAsia="zh-CN" w:bidi="ar-SA"/>
              </w:rPr>
              <w:t>204</w:t>
            </w:r>
          </w:p>
        </w:tc>
        <w:tc>
          <w:tcPr>
            <w:tcW w:w="1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color w:val="000000"/>
                <w:kern w:val="2"/>
                <w:sz w:val="22"/>
                <w:szCs w:val="22"/>
                <w:lang w:val="en-US" w:eastAsia="zh-CN" w:bidi="ar-SA"/>
              </w:rPr>
            </w:pPr>
            <w:r>
              <w:rPr>
                <w:rFonts w:hint="eastAsia" w:ascii="宋体" w:hAnsi="宋体" w:cs="宋体"/>
                <w:color w:val="000000"/>
                <w:kern w:val="2"/>
                <w:sz w:val="22"/>
                <w:szCs w:val="22"/>
                <w:lang w:val="en-US" w:eastAsia="zh-CN" w:bidi="ar-SA"/>
              </w:rPr>
              <w:t>公共安全支出</w:t>
            </w:r>
          </w:p>
        </w:tc>
        <w:tc>
          <w:tcPr>
            <w:tcW w:w="2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r>
              <w:rPr>
                <w:rFonts w:hint="eastAsia" w:ascii="宋体" w:hAnsi="宋体"/>
                <w:color w:val="000000"/>
                <w:sz w:val="22"/>
                <w:lang w:val="en-US" w:eastAsia="zh-CN"/>
              </w:rPr>
              <w:t>8.15</w:t>
            </w:r>
          </w:p>
        </w:tc>
        <w:tc>
          <w:tcPr>
            <w:tcW w:w="2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22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r>
              <w:rPr>
                <w:rFonts w:hint="eastAsia" w:ascii="宋体" w:hAnsi="宋体"/>
                <w:color w:val="000000"/>
                <w:sz w:val="22"/>
                <w:lang w:val="en-US" w:eastAsia="zh-CN"/>
              </w:rPr>
              <w:t>8.15</w:t>
            </w: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208</w:t>
            </w:r>
          </w:p>
        </w:tc>
        <w:tc>
          <w:tcPr>
            <w:tcW w:w="1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社会保障和就业支出</w:t>
            </w:r>
          </w:p>
        </w:tc>
        <w:tc>
          <w:tcPr>
            <w:tcW w:w="2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r>
              <w:rPr>
                <w:rFonts w:hint="eastAsia" w:ascii="宋体" w:hAnsi="宋体"/>
                <w:color w:val="000000"/>
                <w:sz w:val="22"/>
                <w:lang w:val="en-US" w:eastAsia="zh-CN"/>
              </w:rPr>
              <w:t>45.78</w:t>
            </w:r>
          </w:p>
        </w:tc>
        <w:tc>
          <w:tcPr>
            <w:tcW w:w="2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r>
              <w:rPr>
                <w:rFonts w:hint="eastAsia" w:ascii="宋体" w:hAnsi="宋体"/>
                <w:color w:val="000000"/>
                <w:sz w:val="22"/>
                <w:lang w:val="en-US" w:eastAsia="zh-CN"/>
              </w:rPr>
              <w:t>45.78</w:t>
            </w:r>
          </w:p>
        </w:tc>
        <w:tc>
          <w:tcPr>
            <w:tcW w:w="22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20805</w:t>
            </w:r>
          </w:p>
        </w:tc>
        <w:tc>
          <w:tcPr>
            <w:tcW w:w="1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行政事业单位养老支出</w:t>
            </w:r>
          </w:p>
        </w:tc>
        <w:tc>
          <w:tcPr>
            <w:tcW w:w="2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r>
              <w:rPr>
                <w:rFonts w:hint="eastAsia" w:ascii="宋体" w:hAnsi="宋体"/>
                <w:color w:val="000000"/>
                <w:sz w:val="22"/>
                <w:lang w:val="en-US" w:eastAsia="zh-CN"/>
              </w:rPr>
              <w:t>45.78</w:t>
            </w:r>
          </w:p>
        </w:tc>
        <w:tc>
          <w:tcPr>
            <w:tcW w:w="2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r>
              <w:rPr>
                <w:rFonts w:hint="eastAsia" w:ascii="宋体" w:hAnsi="宋体"/>
                <w:color w:val="000000"/>
                <w:sz w:val="22"/>
                <w:lang w:val="en-US" w:eastAsia="zh-CN"/>
              </w:rPr>
              <w:t>45.78</w:t>
            </w:r>
          </w:p>
        </w:tc>
        <w:tc>
          <w:tcPr>
            <w:tcW w:w="22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2080501</w:t>
            </w:r>
          </w:p>
        </w:tc>
        <w:tc>
          <w:tcPr>
            <w:tcW w:w="1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 xml:space="preserve">  行政单位离退休</w:t>
            </w:r>
          </w:p>
        </w:tc>
        <w:tc>
          <w:tcPr>
            <w:tcW w:w="2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r>
              <w:rPr>
                <w:rFonts w:hint="eastAsia" w:ascii="宋体" w:hAnsi="宋体"/>
                <w:color w:val="000000"/>
                <w:sz w:val="22"/>
                <w:lang w:val="en-US" w:eastAsia="zh-CN"/>
              </w:rPr>
              <w:t>3.37</w:t>
            </w:r>
          </w:p>
        </w:tc>
        <w:tc>
          <w:tcPr>
            <w:tcW w:w="2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r>
              <w:rPr>
                <w:rFonts w:hint="eastAsia" w:ascii="宋体" w:hAnsi="宋体"/>
                <w:color w:val="000000"/>
                <w:sz w:val="22"/>
                <w:lang w:val="en-US" w:eastAsia="zh-CN"/>
              </w:rPr>
              <w:t>3.37</w:t>
            </w:r>
          </w:p>
        </w:tc>
        <w:tc>
          <w:tcPr>
            <w:tcW w:w="22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2080505</w:t>
            </w:r>
          </w:p>
        </w:tc>
        <w:tc>
          <w:tcPr>
            <w:tcW w:w="1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机关事业单位基本养老保险缴费支出</w:t>
            </w:r>
          </w:p>
        </w:tc>
        <w:tc>
          <w:tcPr>
            <w:tcW w:w="2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r>
              <w:rPr>
                <w:rFonts w:hint="eastAsia" w:ascii="宋体" w:hAnsi="宋体"/>
                <w:color w:val="000000"/>
                <w:sz w:val="22"/>
                <w:lang w:val="en-US" w:eastAsia="zh-CN"/>
              </w:rPr>
              <w:t>42.41</w:t>
            </w:r>
          </w:p>
        </w:tc>
        <w:tc>
          <w:tcPr>
            <w:tcW w:w="2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r>
              <w:rPr>
                <w:rFonts w:hint="eastAsia" w:ascii="宋体" w:hAnsi="宋体"/>
                <w:color w:val="000000"/>
                <w:sz w:val="22"/>
                <w:lang w:val="en-US" w:eastAsia="zh-CN"/>
              </w:rPr>
              <w:t>42.41</w:t>
            </w:r>
          </w:p>
        </w:tc>
        <w:tc>
          <w:tcPr>
            <w:tcW w:w="22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210</w:t>
            </w:r>
          </w:p>
        </w:tc>
        <w:tc>
          <w:tcPr>
            <w:tcW w:w="1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卫生健康支出</w:t>
            </w:r>
          </w:p>
        </w:tc>
        <w:tc>
          <w:tcPr>
            <w:tcW w:w="2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r>
              <w:rPr>
                <w:rFonts w:hint="eastAsia" w:ascii="宋体" w:hAnsi="宋体"/>
                <w:color w:val="000000"/>
                <w:sz w:val="22"/>
                <w:lang w:val="en-US" w:eastAsia="zh-CN"/>
              </w:rPr>
              <w:t>28.08</w:t>
            </w:r>
          </w:p>
        </w:tc>
        <w:tc>
          <w:tcPr>
            <w:tcW w:w="2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r>
              <w:rPr>
                <w:rFonts w:hint="eastAsia" w:ascii="宋体" w:hAnsi="宋体"/>
                <w:color w:val="000000"/>
                <w:sz w:val="22"/>
                <w:lang w:val="en-US" w:eastAsia="zh-CN"/>
              </w:rPr>
              <w:t>28.08</w:t>
            </w:r>
          </w:p>
        </w:tc>
        <w:tc>
          <w:tcPr>
            <w:tcW w:w="22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21011</w:t>
            </w:r>
          </w:p>
        </w:tc>
        <w:tc>
          <w:tcPr>
            <w:tcW w:w="1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行政事业单位医疗</w:t>
            </w:r>
          </w:p>
        </w:tc>
        <w:tc>
          <w:tcPr>
            <w:tcW w:w="2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r>
              <w:rPr>
                <w:rFonts w:hint="eastAsia" w:ascii="宋体" w:hAnsi="宋体"/>
                <w:color w:val="000000"/>
                <w:sz w:val="22"/>
                <w:lang w:val="en-US" w:eastAsia="zh-CN"/>
              </w:rPr>
              <w:t>28.08</w:t>
            </w:r>
          </w:p>
        </w:tc>
        <w:tc>
          <w:tcPr>
            <w:tcW w:w="2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r>
              <w:rPr>
                <w:rFonts w:hint="eastAsia" w:ascii="宋体" w:hAnsi="宋体"/>
                <w:color w:val="000000"/>
                <w:sz w:val="22"/>
                <w:lang w:val="en-US" w:eastAsia="zh-CN"/>
              </w:rPr>
              <w:t>28.08</w:t>
            </w:r>
          </w:p>
        </w:tc>
        <w:tc>
          <w:tcPr>
            <w:tcW w:w="22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2101101</w:t>
            </w:r>
          </w:p>
        </w:tc>
        <w:tc>
          <w:tcPr>
            <w:tcW w:w="1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 xml:space="preserve">  行政单位医疗</w:t>
            </w:r>
          </w:p>
        </w:tc>
        <w:tc>
          <w:tcPr>
            <w:tcW w:w="2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r>
              <w:rPr>
                <w:rFonts w:hint="eastAsia" w:ascii="宋体" w:hAnsi="宋体"/>
                <w:color w:val="000000"/>
                <w:sz w:val="22"/>
                <w:lang w:val="en-US" w:eastAsia="zh-CN"/>
              </w:rPr>
              <w:t>16.15</w:t>
            </w:r>
          </w:p>
        </w:tc>
        <w:tc>
          <w:tcPr>
            <w:tcW w:w="2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r>
              <w:rPr>
                <w:rFonts w:hint="eastAsia" w:ascii="宋体" w:hAnsi="宋体"/>
                <w:color w:val="000000"/>
                <w:sz w:val="22"/>
                <w:lang w:val="en-US" w:eastAsia="zh-CN"/>
              </w:rPr>
              <w:t>16.15</w:t>
            </w:r>
          </w:p>
        </w:tc>
        <w:tc>
          <w:tcPr>
            <w:tcW w:w="22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rPr>
              <w:t>2101102</w:t>
            </w:r>
          </w:p>
        </w:tc>
        <w:tc>
          <w:tcPr>
            <w:tcW w:w="1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 xml:space="preserve"> 事业单位医疗</w:t>
            </w:r>
          </w:p>
        </w:tc>
        <w:tc>
          <w:tcPr>
            <w:tcW w:w="2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r>
              <w:rPr>
                <w:rFonts w:hint="eastAsia" w:ascii="宋体" w:hAnsi="宋体"/>
                <w:color w:val="000000"/>
                <w:sz w:val="22"/>
                <w:lang w:val="en-US" w:eastAsia="zh-CN"/>
              </w:rPr>
              <w:t>11.93</w:t>
            </w:r>
          </w:p>
        </w:tc>
        <w:tc>
          <w:tcPr>
            <w:tcW w:w="2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r>
              <w:rPr>
                <w:rFonts w:hint="eastAsia" w:ascii="宋体" w:hAnsi="宋体"/>
                <w:color w:val="000000"/>
                <w:sz w:val="22"/>
                <w:lang w:val="en-US" w:eastAsia="zh-CN"/>
              </w:rPr>
              <w:t>11.93</w:t>
            </w:r>
          </w:p>
        </w:tc>
        <w:tc>
          <w:tcPr>
            <w:tcW w:w="22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221</w:t>
            </w:r>
          </w:p>
        </w:tc>
        <w:tc>
          <w:tcPr>
            <w:tcW w:w="1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住房保障支出</w:t>
            </w:r>
          </w:p>
        </w:tc>
        <w:tc>
          <w:tcPr>
            <w:tcW w:w="2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r>
              <w:rPr>
                <w:rFonts w:hint="eastAsia" w:ascii="宋体" w:hAnsi="宋体"/>
                <w:color w:val="000000"/>
                <w:sz w:val="22"/>
                <w:lang w:val="en-US" w:eastAsia="zh-CN"/>
              </w:rPr>
              <w:t>27.86</w:t>
            </w:r>
          </w:p>
        </w:tc>
        <w:tc>
          <w:tcPr>
            <w:tcW w:w="2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r>
              <w:rPr>
                <w:rFonts w:hint="eastAsia" w:ascii="宋体" w:hAnsi="宋体"/>
                <w:color w:val="000000"/>
                <w:sz w:val="22"/>
                <w:lang w:val="en-US" w:eastAsia="zh-CN"/>
              </w:rPr>
              <w:t>27.86</w:t>
            </w:r>
          </w:p>
        </w:tc>
        <w:tc>
          <w:tcPr>
            <w:tcW w:w="22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22102</w:t>
            </w:r>
          </w:p>
        </w:tc>
        <w:tc>
          <w:tcPr>
            <w:tcW w:w="1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住房改革支出</w:t>
            </w:r>
          </w:p>
        </w:tc>
        <w:tc>
          <w:tcPr>
            <w:tcW w:w="2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r>
              <w:rPr>
                <w:rFonts w:hint="eastAsia" w:ascii="宋体" w:hAnsi="宋体"/>
                <w:color w:val="000000"/>
                <w:sz w:val="22"/>
                <w:lang w:val="en-US" w:eastAsia="zh-CN"/>
              </w:rPr>
              <w:t>27.86</w:t>
            </w:r>
          </w:p>
        </w:tc>
        <w:tc>
          <w:tcPr>
            <w:tcW w:w="2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r>
              <w:rPr>
                <w:rFonts w:hint="eastAsia" w:ascii="宋体" w:hAnsi="宋体"/>
                <w:color w:val="000000"/>
                <w:sz w:val="22"/>
                <w:lang w:val="en-US" w:eastAsia="zh-CN"/>
              </w:rPr>
              <w:t>27.86</w:t>
            </w:r>
          </w:p>
        </w:tc>
        <w:tc>
          <w:tcPr>
            <w:tcW w:w="22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rPr>
              <w:t>2210201</w:t>
            </w:r>
          </w:p>
        </w:tc>
        <w:tc>
          <w:tcPr>
            <w:tcW w:w="1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住房公积金</w:t>
            </w:r>
          </w:p>
        </w:tc>
        <w:tc>
          <w:tcPr>
            <w:tcW w:w="2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r>
              <w:rPr>
                <w:rFonts w:hint="eastAsia" w:ascii="宋体" w:hAnsi="宋体"/>
                <w:color w:val="000000"/>
                <w:sz w:val="22"/>
                <w:lang w:val="en-US" w:eastAsia="zh-CN"/>
              </w:rPr>
              <w:t>27.86</w:t>
            </w:r>
          </w:p>
        </w:tc>
        <w:tc>
          <w:tcPr>
            <w:tcW w:w="2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r>
              <w:rPr>
                <w:rFonts w:hint="eastAsia" w:ascii="宋体" w:hAnsi="宋体"/>
                <w:color w:val="000000"/>
                <w:sz w:val="22"/>
                <w:lang w:val="en-US" w:eastAsia="zh-CN"/>
              </w:rPr>
              <w:t>27.86</w:t>
            </w:r>
          </w:p>
        </w:tc>
        <w:tc>
          <w:tcPr>
            <w:tcW w:w="22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r>
      <w:tr>
        <w:tblPrEx>
          <w:tblCellMar>
            <w:top w:w="0" w:type="dxa"/>
            <w:left w:w="0" w:type="dxa"/>
            <w:bottom w:w="0" w:type="dxa"/>
            <w:right w:w="0" w:type="dxa"/>
          </w:tblCellMar>
        </w:tblPrEx>
        <w:trPr>
          <w:trHeight w:val="308" w:hRule="atLeast"/>
          <w:jc w:val="center"/>
        </w:trPr>
        <w:tc>
          <w:tcPr>
            <w:tcW w:w="9600" w:type="dxa"/>
            <w:gridSpan w:val="8"/>
            <w:tcBorders>
              <w:top w:val="single" w:color="auto" w:sz="4" w:space="0"/>
              <w:left w:val="nil"/>
              <w:bottom w:val="nil"/>
              <w:right w:val="nil"/>
            </w:tcBorders>
            <w:shd w:val="clear" w:color="auto" w:fill="auto"/>
            <w:noWrap/>
            <w:tcMar>
              <w:top w:w="15" w:type="dxa"/>
              <w:left w:w="15" w:type="dxa"/>
              <w:right w:w="15" w:type="dxa"/>
            </w:tcMar>
            <w:vAlign w:val="center"/>
          </w:tcPr>
          <w:p>
            <w:pPr>
              <w:tabs>
                <w:tab w:val="left" w:pos="218"/>
              </w:tabs>
              <w:jc w:val="left"/>
              <w:rPr>
                <w:rFonts w:ascii="宋体" w:hAnsi="宋体"/>
                <w:color w:val="000000"/>
                <w:sz w:val="22"/>
              </w:rPr>
            </w:pPr>
            <w:r>
              <w:rPr>
                <w:rFonts w:hint="eastAsia" w:ascii="宋体" w:hAnsi="宋体"/>
                <w:color w:val="000000"/>
                <w:sz w:val="22"/>
              </w:rPr>
              <w:t>注：本表反映部门本年度一般公共预算财政拨款支出情况。</w:t>
            </w:r>
          </w:p>
        </w:tc>
      </w:tr>
    </w:tbl>
    <w:p>
      <w:r>
        <w:br w:type="page"/>
      </w:r>
    </w:p>
    <w:tbl>
      <w:tblPr>
        <w:tblStyle w:val="8"/>
        <w:tblW w:w="10000" w:type="dxa"/>
        <w:jc w:val="center"/>
        <w:tblLayout w:type="fixed"/>
        <w:tblCellMar>
          <w:top w:w="0" w:type="dxa"/>
          <w:left w:w="0" w:type="dxa"/>
          <w:bottom w:w="0" w:type="dxa"/>
          <w:right w:w="0" w:type="dxa"/>
        </w:tblCellMar>
      </w:tblPr>
      <w:tblGrid>
        <w:gridCol w:w="896"/>
        <w:gridCol w:w="1932"/>
        <w:gridCol w:w="783"/>
        <w:gridCol w:w="655"/>
        <w:gridCol w:w="1599"/>
        <w:gridCol w:w="768"/>
        <w:gridCol w:w="744"/>
        <w:gridCol w:w="1891"/>
        <w:gridCol w:w="732"/>
      </w:tblGrid>
      <w:tr>
        <w:tblPrEx>
          <w:tblCellMar>
            <w:top w:w="0" w:type="dxa"/>
            <w:left w:w="0" w:type="dxa"/>
            <w:bottom w:w="0" w:type="dxa"/>
            <w:right w:w="0" w:type="dxa"/>
          </w:tblCellMar>
        </w:tblPrEx>
        <w:trPr>
          <w:trHeight w:val="552" w:hRule="atLeast"/>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一般公共预算财政拨款基本支出决算明细表</w:t>
            </w:r>
          </w:p>
        </w:tc>
      </w:tr>
      <w:tr>
        <w:tblPrEx>
          <w:tblCellMar>
            <w:top w:w="0" w:type="dxa"/>
            <w:left w:w="0" w:type="dxa"/>
            <w:bottom w:w="0" w:type="dxa"/>
            <w:right w:w="0" w:type="dxa"/>
          </w:tblCellMar>
        </w:tblPrEx>
        <w:trPr>
          <w:trHeight w:val="165" w:hRule="atLeast"/>
          <w:jc w:val="center"/>
        </w:trPr>
        <w:tc>
          <w:tcPr>
            <w:tcW w:w="89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9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8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color w:val="000000"/>
                <w:sz w:val="18"/>
                <w:szCs w:val="18"/>
              </w:rPr>
            </w:pPr>
            <w:r>
              <w:rPr>
                <w:rFonts w:hint="eastAsia" w:ascii="宋体" w:hAnsi="宋体"/>
                <w:color w:val="000000"/>
                <w:kern w:val="0"/>
                <w:sz w:val="18"/>
                <w:szCs w:val="18"/>
              </w:rPr>
              <w:t>公开06表</w:t>
            </w:r>
          </w:p>
        </w:tc>
      </w:tr>
      <w:tr>
        <w:tblPrEx>
          <w:tblCellMar>
            <w:top w:w="0" w:type="dxa"/>
            <w:left w:w="0" w:type="dxa"/>
            <w:bottom w:w="0" w:type="dxa"/>
            <w:right w:w="0" w:type="dxa"/>
          </w:tblCellMar>
        </w:tblPrEx>
        <w:trPr>
          <w:trHeight w:val="155" w:hRule="atLeast"/>
          <w:jc w:val="center"/>
        </w:trPr>
        <w:tc>
          <w:tcPr>
            <w:tcW w:w="4266" w:type="dxa"/>
            <w:gridSpan w:val="4"/>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r>
              <w:rPr>
                <w:rFonts w:hint="eastAsia" w:ascii="宋体" w:hAnsi="宋体"/>
                <w:color w:val="000000"/>
                <w:kern w:val="0"/>
                <w:sz w:val="20"/>
                <w:szCs w:val="20"/>
              </w:rPr>
              <w:t>部门：</w:t>
            </w:r>
            <w:r>
              <w:rPr>
                <w:rFonts w:hint="eastAsia" w:ascii="宋体" w:hAnsi="宋体"/>
                <w:color w:val="000000"/>
                <w:kern w:val="0"/>
                <w:sz w:val="20"/>
                <w:szCs w:val="20"/>
                <w:lang w:val="en-US" w:eastAsia="zh-CN"/>
              </w:rPr>
              <w:t>中国共产主义青年团张家口市委员会</w:t>
            </w: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color w:val="000000"/>
                <w:sz w:val="18"/>
                <w:szCs w:val="18"/>
              </w:rPr>
            </w:pPr>
            <w:r>
              <w:rPr>
                <w:rFonts w:hint="eastAsia" w:ascii="宋体" w:hAnsi="宋体"/>
                <w:color w:val="000000"/>
                <w:kern w:val="0"/>
                <w:sz w:val="18"/>
                <w:szCs w:val="18"/>
              </w:rPr>
              <w:t>金额单位：万元</w:t>
            </w:r>
          </w:p>
        </w:tc>
      </w:tr>
      <w:tr>
        <w:tblPrEx>
          <w:tblCellMar>
            <w:top w:w="0" w:type="dxa"/>
            <w:left w:w="0" w:type="dxa"/>
            <w:bottom w:w="0" w:type="dxa"/>
            <w:right w:w="0" w:type="dxa"/>
          </w:tblCellMar>
        </w:tblPrEx>
        <w:trPr>
          <w:trHeight w:val="249"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人员经费</w:t>
            </w:r>
          </w:p>
        </w:tc>
        <w:tc>
          <w:tcPr>
            <w:tcW w:w="638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公用经费</w:t>
            </w:r>
          </w:p>
        </w:tc>
      </w:tr>
      <w:tr>
        <w:tblPrEx>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kern w:val="0"/>
                <w:sz w:val="22"/>
              </w:rPr>
            </w:pPr>
            <w:r>
              <w:rPr>
                <w:rFonts w:hint="eastAsia" w:ascii="宋体" w:hAnsi="宋体"/>
                <w:color w:val="000000"/>
                <w:kern w:val="0"/>
                <w:sz w:val="22"/>
              </w:rPr>
              <w:t>科目</w:t>
            </w:r>
          </w:p>
          <w:p>
            <w:pPr>
              <w:widowControl/>
              <w:jc w:val="center"/>
              <w:textAlignment w:val="center"/>
              <w:rPr>
                <w:rFonts w:ascii="宋体" w:hAnsi="宋体"/>
                <w:color w:val="000000"/>
                <w:sz w:val="22"/>
              </w:rPr>
            </w:pPr>
            <w:r>
              <w:rPr>
                <w:rFonts w:hint="eastAsia" w:ascii="宋体" w:hAnsi="宋体"/>
                <w:color w:val="000000"/>
                <w:kern w:val="0"/>
                <w:sz w:val="22"/>
              </w:rPr>
              <w:t>编码</w:t>
            </w:r>
          </w:p>
        </w:tc>
        <w:tc>
          <w:tcPr>
            <w:tcW w:w="19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科目名称</w:t>
            </w:r>
          </w:p>
        </w:tc>
        <w:tc>
          <w:tcPr>
            <w:tcW w:w="78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决算数</w:t>
            </w:r>
          </w:p>
        </w:tc>
        <w:tc>
          <w:tcPr>
            <w:tcW w:w="6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科目编码</w:t>
            </w:r>
          </w:p>
        </w:tc>
        <w:tc>
          <w:tcPr>
            <w:tcW w:w="15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科目名称</w:t>
            </w:r>
          </w:p>
        </w:tc>
        <w:tc>
          <w:tcPr>
            <w:tcW w:w="7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决算数</w:t>
            </w:r>
          </w:p>
        </w:tc>
        <w:tc>
          <w:tcPr>
            <w:tcW w:w="7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kern w:val="0"/>
                <w:sz w:val="22"/>
              </w:rPr>
            </w:pPr>
            <w:r>
              <w:rPr>
                <w:rFonts w:hint="eastAsia" w:ascii="宋体" w:hAnsi="宋体"/>
                <w:color w:val="000000"/>
                <w:kern w:val="0"/>
                <w:sz w:val="22"/>
              </w:rPr>
              <w:t>科目</w:t>
            </w:r>
          </w:p>
          <w:p>
            <w:pPr>
              <w:widowControl/>
              <w:jc w:val="center"/>
              <w:textAlignment w:val="center"/>
              <w:rPr>
                <w:rFonts w:ascii="宋体" w:hAnsi="宋体"/>
                <w:color w:val="000000"/>
                <w:sz w:val="22"/>
              </w:rPr>
            </w:pPr>
            <w:r>
              <w:rPr>
                <w:rFonts w:hint="eastAsia" w:ascii="宋体" w:hAnsi="宋体"/>
                <w:color w:val="000000"/>
                <w:kern w:val="0"/>
                <w:sz w:val="22"/>
              </w:rPr>
              <w:t>编码</w:t>
            </w:r>
          </w:p>
        </w:tc>
        <w:tc>
          <w:tcPr>
            <w:tcW w:w="18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科目名称</w:t>
            </w:r>
          </w:p>
        </w:tc>
        <w:tc>
          <w:tcPr>
            <w:tcW w:w="7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决算数</w:t>
            </w:r>
          </w:p>
        </w:tc>
      </w:tr>
      <w:tr>
        <w:tblPrEx>
          <w:tblCellMar>
            <w:top w:w="0" w:type="dxa"/>
            <w:left w:w="0" w:type="dxa"/>
            <w:bottom w:w="0" w:type="dxa"/>
            <w:right w:w="0" w:type="dxa"/>
          </w:tblCellMar>
        </w:tblPrEx>
        <w:trPr>
          <w:trHeight w:val="312" w:hRule="atLeast"/>
          <w:jc w:val="center"/>
        </w:trPr>
        <w:tc>
          <w:tcPr>
            <w:tcW w:w="8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9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78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5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7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7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8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7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工资福利支出</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412.11</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商品和服务支出</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57.05</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债务利息及费用支出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30101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 xml:space="preserve">  基本工资</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118.33</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30201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办公费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5.85</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30701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国内债务付息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30102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 xml:space="preserve">  津贴补贴</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67.68</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印刷费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0.14</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30702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国外债务付息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30103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 xml:space="preserve">  奖金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18.48</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30203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咨询费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30106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 xml:space="preserve">  伙食补助费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30204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手续费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31001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房屋建筑物购建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30107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 xml:space="preserve">  绩效工资</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26.58</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30205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水费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31002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办公设备购置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460"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30108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 xml:space="preserve">  机关事业单位基本养老保险缴费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42.41</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30206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电费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31003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专用设备购置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30109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 xml:space="preserve">  职业年金缴费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30207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邮电费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10.42</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31005</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基础设施建设</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30110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 xml:space="preserve">  职工基本医疗保险缴费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16.17</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30208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取暖费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31006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大型修缮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30111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 xml:space="preserve">  公务员医疗补助缴费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7.15</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30209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物业管理费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5.43</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31007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信息网络及软件购置更新</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30112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 xml:space="preserve">  其他社会保障缴费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5.79</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30211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差旅费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9.20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31008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物资储备</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30113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 xml:space="preserve">  住房公积金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27.86</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30212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因公出国（境）费用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31009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土地补偿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30114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 xml:space="preserve">  医疗费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30213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维修（护）费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0.08</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31010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安置补助</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30199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 xml:space="preserve">  其他工资福利支出</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81.66</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30214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租赁费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31011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地上附着物和青苗补偿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对个人和家庭的补助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9.05</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30215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会议费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31012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拆迁补偿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 xml:space="preserve">  离休费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30216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培训费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0.2</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31013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公务用车购置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30302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 xml:space="preserve">  退休费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2.85</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color w:val="000000"/>
                <w:sz w:val="20"/>
                <w:szCs w:val="20"/>
              </w:rPr>
            </w:pPr>
            <w:r>
              <w:rPr>
                <w:rFonts w:hint="eastAsia" w:ascii="宋体" w:hAnsi="宋体"/>
                <w:color w:val="000000"/>
                <w:sz w:val="20"/>
                <w:szCs w:val="20"/>
              </w:rPr>
              <w:t>30217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公务接待费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0.27</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31019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其他交通工具购置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 xml:space="preserve">  退职（役）费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0.48</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30218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专用材料费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31021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文物和陈列品购置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30304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 xml:space="preserve">  抚恤金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5.72</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30224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被装购置费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31022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无形资产购置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30305</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 xml:space="preserve">  生活补助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30225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专用燃料费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31099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其他资本性支出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30306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 xml:space="preserve">  救济费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30226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劳务费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1.42</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30307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 xml:space="preserve">  医疗费补助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30227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委托业务费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39906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赠与</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30308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 xml:space="preserve">  助学金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30228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工会经费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3.83</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39907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国家赔偿费用支出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44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30309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 xml:space="preserve">  奖励金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30229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福利费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2.47</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39908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w:t>
            </w:r>
            <w:r>
              <w:rPr>
                <w:rFonts w:hint="eastAsia" w:ascii="宋体" w:hAnsi="宋体"/>
                <w:color w:val="000000"/>
                <w:kern w:val="0"/>
                <w:sz w:val="18"/>
                <w:szCs w:val="18"/>
              </w:rPr>
              <w:t xml:space="preserve"> 对民间非营利组织和群众性自治组织补贴</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378"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30310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 xml:space="preserve">  个人农业生产补贴</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30231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公务用车运行维护费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2.98</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39999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456"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30311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 xml:space="preserve">  代缴社会保险费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30239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其他交通费用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13.58</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377"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30399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 xml:space="preserve">  其他对个人和家庭的补助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30240</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税金及附加费用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313" w:hRule="atLeast"/>
          <w:jc w:val="center"/>
        </w:trPr>
        <w:tc>
          <w:tcPr>
            <w:tcW w:w="896" w:type="dxa"/>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color w:val="000000"/>
                <w:sz w:val="20"/>
                <w:szCs w:val="20"/>
              </w:rPr>
            </w:pPr>
          </w:p>
        </w:tc>
        <w:tc>
          <w:tcPr>
            <w:tcW w:w="193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color w:val="000000"/>
                <w:sz w:val="20"/>
                <w:szCs w:val="20"/>
              </w:rPr>
            </w:pPr>
          </w:p>
        </w:tc>
        <w:tc>
          <w:tcPr>
            <w:tcW w:w="783"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color w:val="000000"/>
                <w:sz w:val="20"/>
                <w:szCs w:val="20"/>
              </w:rPr>
            </w:pPr>
          </w:p>
        </w:tc>
        <w:tc>
          <w:tcPr>
            <w:tcW w:w="65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30299</w:t>
            </w:r>
          </w:p>
        </w:tc>
        <w:tc>
          <w:tcPr>
            <w:tcW w:w="159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其他商品和服务支出</w:t>
            </w:r>
          </w:p>
        </w:tc>
        <w:tc>
          <w:tcPr>
            <w:tcW w:w="768"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1.18</w:t>
            </w:r>
          </w:p>
        </w:tc>
        <w:tc>
          <w:tcPr>
            <w:tcW w:w="744"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color w:val="000000"/>
                <w:sz w:val="20"/>
                <w:szCs w:val="20"/>
              </w:rPr>
            </w:pPr>
          </w:p>
        </w:tc>
        <w:tc>
          <w:tcPr>
            <w:tcW w:w="189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color w:val="000000"/>
                <w:sz w:val="20"/>
                <w:szCs w:val="20"/>
              </w:rPr>
            </w:pPr>
          </w:p>
        </w:tc>
        <w:tc>
          <w:tcPr>
            <w:tcW w:w="73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127" w:hRule="atLeast"/>
          <w:jc w:val="center"/>
        </w:trPr>
        <w:tc>
          <w:tcPr>
            <w:tcW w:w="2828"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color w:val="000000"/>
                <w:sz w:val="20"/>
                <w:szCs w:val="20"/>
              </w:rPr>
            </w:pPr>
            <w:r>
              <w:rPr>
                <w:rFonts w:hint="eastAsia" w:ascii="宋体" w:hAnsi="宋体"/>
                <w:color w:val="000000"/>
                <w:kern w:val="0"/>
                <w:sz w:val="20"/>
                <w:szCs w:val="20"/>
              </w:rPr>
              <w:t>人员经费合计</w:t>
            </w:r>
          </w:p>
        </w:tc>
        <w:tc>
          <w:tcPr>
            <w:tcW w:w="7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421.16</w:t>
            </w:r>
          </w:p>
        </w:tc>
        <w:tc>
          <w:tcPr>
            <w:tcW w:w="5657" w:type="dxa"/>
            <w:gridSpan w:val="5"/>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color w:val="000000"/>
                <w:sz w:val="20"/>
                <w:szCs w:val="20"/>
              </w:rPr>
            </w:pPr>
            <w:r>
              <w:rPr>
                <w:rFonts w:hint="eastAsia" w:ascii="宋体" w:hAnsi="宋体"/>
                <w:color w:val="000000"/>
                <w:kern w:val="0"/>
                <w:sz w:val="20"/>
                <w:szCs w:val="20"/>
              </w:rPr>
              <w:t>公用经费合计</w:t>
            </w:r>
          </w:p>
        </w:tc>
        <w:tc>
          <w:tcPr>
            <w:tcW w:w="7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180" w:lineRule="exact"/>
              <w:jc w:val="righ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57.05</w:t>
            </w:r>
          </w:p>
        </w:tc>
      </w:tr>
      <w:tr>
        <w:tblPrEx>
          <w:tblCellMar>
            <w:top w:w="0" w:type="dxa"/>
            <w:left w:w="0" w:type="dxa"/>
            <w:bottom w:w="0" w:type="dxa"/>
            <w:right w:w="0" w:type="dxa"/>
          </w:tblCellMar>
        </w:tblPrEx>
        <w:trPr>
          <w:trHeight w:val="332" w:hRule="atLeast"/>
          <w:jc w:val="center"/>
        </w:trPr>
        <w:tc>
          <w:tcPr>
            <w:tcW w:w="10000" w:type="dxa"/>
            <w:gridSpan w:val="9"/>
            <w:tcBorders>
              <w:top w:val="single" w:color="auto" w:sz="4" w:space="0"/>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color w:val="000000"/>
                <w:sz w:val="20"/>
                <w:szCs w:val="20"/>
              </w:rPr>
            </w:pPr>
            <w:r>
              <w:rPr>
                <w:rFonts w:hint="eastAsia" w:ascii="宋体" w:hAnsi="宋体"/>
                <w:color w:val="000000"/>
                <w:sz w:val="20"/>
                <w:szCs w:val="20"/>
              </w:rPr>
              <w:t>注：本表反映部门本</w:t>
            </w:r>
            <w:r>
              <w:rPr>
                <w:rFonts w:hint="eastAsia" w:ascii="宋体" w:hAnsi="宋体"/>
                <w:color w:val="000000"/>
                <w:kern w:val="0"/>
                <w:sz w:val="20"/>
                <w:szCs w:val="20"/>
              </w:rPr>
              <w:t>年度</w:t>
            </w:r>
            <w:r>
              <w:rPr>
                <w:rFonts w:hint="eastAsia" w:ascii="宋体" w:hAnsi="宋体"/>
                <w:color w:val="000000"/>
                <w:sz w:val="20"/>
                <w:szCs w:val="20"/>
              </w:rPr>
              <w:t>一般公共预算财政拨款基本支出明细情况。</w:t>
            </w:r>
          </w:p>
        </w:tc>
      </w:tr>
    </w:tbl>
    <w:p/>
    <w:p/>
    <w:p/>
    <w:p/>
    <w:tbl>
      <w:tblPr>
        <w:tblStyle w:val="8"/>
        <w:tblW w:w="9220" w:type="dxa"/>
        <w:jc w:val="center"/>
        <w:tblLayout w:type="fixed"/>
        <w:tblCellMar>
          <w:top w:w="0" w:type="dxa"/>
          <w:left w:w="0" w:type="dxa"/>
          <w:bottom w:w="0" w:type="dxa"/>
          <w:right w:w="0" w:type="dxa"/>
        </w:tblCellMar>
      </w:tblPr>
      <w:tblGrid>
        <w:gridCol w:w="1267"/>
        <w:gridCol w:w="1686"/>
        <w:gridCol w:w="1565"/>
        <w:gridCol w:w="1565"/>
        <w:gridCol w:w="1565"/>
        <w:gridCol w:w="1572"/>
      </w:tblGrid>
      <w:tr>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pPr>
            <w:r>
              <w:br w:type="page"/>
            </w:r>
            <w:r>
              <w:rPr>
                <w:rFonts w:hint="eastAsia" w:ascii="黑体" w:hAnsi="宋体" w:eastAsia="黑体" w:cs="黑体"/>
                <w:color w:val="000000"/>
                <w:kern w:val="0"/>
                <w:sz w:val="32"/>
                <w:szCs w:val="32"/>
              </w:rPr>
              <w:t>一般公共预算财政拨款“三公”经费支出决算表</w:t>
            </w:r>
          </w:p>
        </w:tc>
      </w:tr>
      <w:tr>
        <w:tblPrEx>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68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color w:val="000000"/>
                <w:sz w:val="20"/>
                <w:szCs w:val="20"/>
              </w:rPr>
            </w:pPr>
            <w:r>
              <w:rPr>
                <w:rFonts w:hint="eastAsia" w:ascii="宋体" w:hAnsi="宋体"/>
                <w:color w:val="000000"/>
                <w:kern w:val="0"/>
                <w:sz w:val="20"/>
                <w:szCs w:val="20"/>
              </w:rPr>
              <w:t>公开07表</w:t>
            </w:r>
          </w:p>
        </w:tc>
      </w:tr>
      <w:tr>
        <w:tblPrEx>
          <w:tblCellMar>
            <w:top w:w="0" w:type="dxa"/>
            <w:left w:w="0" w:type="dxa"/>
            <w:bottom w:w="0" w:type="dxa"/>
            <w:right w:w="0" w:type="dxa"/>
          </w:tblCellMar>
        </w:tblPrEx>
        <w:trPr>
          <w:trHeight w:val="360" w:hRule="atLeast"/>
          <w:jc w:val="center"/>
        </w:trPr>
        <w:tc>
          <w:tcPr>
            <w:tcW w:w="4518"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r>
              <w:rPr>
                <w:rFonts w:hint="eastAsia" w:ascii="宋体" w:hAnsi="宋体"/>
                <w:color w:val="000000"/>
                <w:kern w:val="0"/>
                <w:sz w:val="20"/>
                <w:szCs w:val="20"/>
              </w:rPr>
              <w:t>部门：</w:t>
            </w:r>
            <w:r>
              <w:rPr>
                <w:rFonts w:hint="eastAsia" w:ascii="宋体" w:hAnsi="宋体"/>
                <w:color w:val="000000"/>
                <w:kern w:val="0"/>
                <w:sz w:val="20"/>
                <w:szCs w:val="20"/>
                <w:lang w:val="en-US" w:eastAsia="zh-CN"/>
              </w:rPr>
              <w:t>中国共产主义青年团张家口市委员会</w:t>
            </w:r>
          </w:p>
        </w:tc>
        <w:tc>
          <w:tcPr>
            <w:tcW w:w="156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color w:val="000000"/>
                <w:sz w:val="20"/>
                <w:szCs w:val="20"/>
              </w:rPr>
            </w:pPr>
            <w:r>
              <w:rPr>
                <w:rFonts w:hint="eastAsia" w:ascii="宋体" w:hAnsi="宋体"/>
                <w:color w:val="000000"/>
                <w:kern w:val="0"/>
                <w:sz w:val="20"/>
                <w:szCs w:val="20"/>
              </w:rPr>
              <w:t>金额单位：万元</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预算数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6</w:t>
            </w: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olor w:val="000000"/>
                <w:sz w:val="22"/>
                <w:lang w:val="en-US" w:eastAsia="zh-CN"/>
              </w:rPr>
            </w:pPr>
            <w:r>
              <w:rPr>
                <w:rFonts w:hint="eastAsia" w:ascii="宋体" w:hAnsi="宋体"/>
                <w:color w:val="000000"/>
                <w:sz w:val="22"/>
                <w:lang w:val="en-US" w:eastAsia="zh-CN"/>
              </w:rPr>
              <w:t>3.66</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olor w:val="000000"/>
                <w:sz w:val="22"/>
                <w:lang w:val="en-US" w:eastAsia="zh-CN"/>
              </w:rPr>
            </w:pPr>
            <w:r>
              <w:rPr>
                <w:rFonts w:hint="eastAsia" w:ascii="宋体" w:hAnsi="宋体"/>
                <w:color w:val="000000"/>
                <w:sz w:val="22"/>
                <w:lang w:val="en-US" w:eastAsia="zh-CN"/>
              </w:rPr>
              <w:t>3.11</w:t>
            </w: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olor w:val="000000"/>
                <w:sz w:val="22"/>
                <w:lang w:val="en-US" w:eastAsia="zh-CN"/>
              </w:rPr>
            </w:pP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r>
              <w:rPr>
                <w:rFonts w:hint="eastAsia" w:ascii="宋体" w:hAnsi="宋体"/>
                <w:color w:val="000000"/>
                <w:sz w:val="22"/>
                <w:lang w:val="en-US" w:eastAsia="zh-CN"/>
              </w:rPr>
              <w:t>3.11</w:t>
            </w:r>
          </w:p>
        </w:tc>
        <w:tc>
          <w:tcPr>
            <w:tcW w:w="1572"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jc w:val="center"/>
              <w:rPr>
                <w:rFonts w:hint="default" w:ascii="宋体" w:hAnsi="宋体" w:eastAsia="宋体"/>
                <w:color w:val="000000"/>
                <w:sz w:val="22"/>
                <w:lang w:val="en-US" w:eastAsia="zh-CN"/>
              </w:rPr>
            </w:pPr>
            <w:r>
              <w:rPr>
                <w:rFonts w:hint="eastAsia" w:ascii="宋体" w:hAnsi="宋体"/>
                <w:color w:val="000000"/>
                <w:sz w:val="22"/>
                <w:lang w:val="en-US" w:eastAsia="zh-CN"/>
              </w:rPr>
              <w:t>0.55</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决算数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12</w:t>
            </w:r>
          </w:p>
        </w:tc>
      </w:tr>
      <w:tr>
        <w:tblPrEx>
          <w:tblCellMar>
            <w:top w:w="0" w:type="dxa"/>
            <w:left w:w="0" w:type="dxa"/>
            <w:bottom w:w="0" w:type="dxa"/>
            <w:right w:w="0" w:type="dxa"/>
          </w:tblCellMar>
        </w:tblPrEx>
        <w:trPr>
          <w:trHeight w:val="447" w:hRule="atLeast"/>
          <w:jc w:val="center"/>
        </w:trPr>
        <w:tc>
          <w:tcPr>
            <w:tcW w:w="1267" w:type="dxa"/>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olor w:val="000000"/>
                <w:sz w:val="22"/>
                <w:lang w:val="en-US" w:eastAsia="zh-CN"/>
              </w:rPr>
            </w:pPr>
            <w:r>
              <w:rPr>
                <w:rFonts w:hint="eastAsia" w:ascii="宋体" w:hAnsi="宋体"/>
                <w:color w:val="000000"/>
                <w:sz w:val="22"/>
                <w:lang w:val="en-US" w:eastAsia="zh-CN"/>
              </w:rPr>
              <w:t>3.25</w:t>
            </w:r>
          </w:p>
        </w:tc>
        <w:tc>
          <w:tcPr>
            <w:tcW w:w="1686"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156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olor w:val="000000"/>
                <w:sz w:val="22"/>
                <w:lang w:val="en-US" w:eastAsia="zh-CN"/>
              </w:rPr>
            </w:pPr>
            <w:r>
              <w:rPr>
                <w:rFonts w:hint="eastAsia" w:ascii="宋体" w:hAnsi="宋体"/>
                <w:color w:val="000000"/>
                <w:sz w:val="22"/>
                <w:lang w:val="en-US" w:eastAsia="zh-CN"/>
              </w:rPr>
              <w:t>2.98</w:t>
            </w:r>
          </w:p>
        </w:tc>
        <w:tc>
          <w:tcPr>
            <w:tcW w:w="156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156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olor w:val="000000"/>
                <w:sz w:val="22"/>
                <w:lang w:val="en-US" w:eastAsia="zh-CN"/>
              </w:rPr>
            </w:pPr>
            <w:r>
              <w:rPr>
                <w:rFonts w:hint="eastAsia" w:ascii="宋体" w:hAnsi="宋体"/>
                <w:color w:val="000000"/>
                <w:sz w:val="22"/>
                <w:lang w:val="en-US" w:eastAsia="zh-CN"/>
              </w:rPr>
              <w:t>2.98</w:t>
            </w:r>
          </w:p>
        </w:tc>
        <w:tc>
          <w:tcPr>
            <w:tcW w:w="1572"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宋体" w:hAnsi="宋体" w:eastAsia="宋体"/>
                <w:color w:val="000000"/>
                <w:sz w:val="22"/>
                <w:lang w:val="en-US" w:eastAsia="zh-CN"/>
              </w:rPr>
            </w:pPr>
            <w:r>
              <w:rPr>
                <w:rFonts w:hint="eastAsia" w:ascii="宋体" w:hAnsi="宋体"/>
                <w:color w:val="000000"/>
                <w:sz w:val="22"/>
                <w:lang w:val="en-US" w:eastAsia="zh-CN"/>
              </w:rPr>
              <w:t>0.27</w:t>
            </w:r>
          </w:p>
        </w:tc>
      </w:tr>
    </w:tbl>
    <w:p>
      <w:r>
        <w:rPr>
          <w:rFonts w:hint="eastAsia" w:ascii="宋体" w:hAnsi="宋体"/>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br w:type="page"/>
      </w:r>
    </w:p>
    <w:tbl>
      <w:tblPr>
        <w:tblStyle w:val="8"/>
        <w:tblW w:w="9510" w:type="dxa"/>
        <w:jc w:val="center"/>
        <w:tblLayout w:type="autofit"/>
        <w:tblCellMar>
          <w:top w:w="0" w:type="dxa"/>
          <w:left w:w="0" w:type="dxa"/>
          <w:bottom w:w="0" w:type="dxa"/>
          <w:right w:w="0" w:type="dxa"/>
        </w:tblCellMar>
      </w:tblPr>
      <w:tblGrid>
        <w:gridCol w:w="3830"/>
        <w:gridCol w:w="36"/>
        <w:gridCol w:w="36"/>
        <w:gridCol w:w="910"/>
        <w:gridCol w:w="783"/>
        <w:gridCol w:w="783"/>
        <w:gridCol w:w="783"/>
        <w:gridCol w:w="783"/>
        <w:gridCol w:w="783"/>
        <w:gridCol w:w="783"/>
      </w:tblGrid>
      <w:tr>
        <w:tblPrEx>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政府性基金预算财政拨款收入支出决算表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color w:val="000000"/>
                <w:sz w:val="20"/>
                <w:szCs w:val="20"/>
              </w:rPr>
            </w:pPr>
            <w:r>
              <w:rPr>
                <w:rFonts w:hint="eastAsia" w:ascii="宋体" w:hAnsi="宋体"/>
                <w:color w:val="000000"/>
                <w:kern w:val="0"/>
                <w:sz w:val="20"/>
                <w:szCs w:val="20"/>
              </w:rPr>
              <w:t>公开08表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color w:val="000000"/>
                <w:sz w:val="20"/>
                <w:szCs w:val="20"/>
              </w:rPr>
            </w:pPr>
            <w:r>
              <w:rPr>
                <w:rFonts w:hint="eastAsia" w:ascii="宋体" w:hAnsi="宋体"/>
                <w:color w:val="000000"/>
                <w:kern w:val="0"/>
                <w:sz w:val="20"/>
                <w:szCs w:val="20"/>
              </w:rPr>
              <w:t>部门：</w:t>
            </w:r>
            <w:r>
              <w:rPr>
                <w:rFonts w:hint="eastAsia" w:ascii="宋体" w:hAnsi="宋体"/>
                <w:color w:val="000000"/>
                <w:kern w:val="0"/>
                <w:sz w:val="20"/>
                <w:szCs w:val="20"/>
                <w:lang w:val="en-US" w:eastAsia="zh-CN"/>
              </w:rPr>
              <w:t>中国共产主义青年团张家口市委员会</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color w:val="000000"/>
                <w:sz w:val="20"/>
                <w:szCs w:val="20"/>
              </w:rPr>
            </w:pPr>
            <w:r>
              <w:rPr>
                <w:rFonts w:hint="eastAsia" w:ascii="宋体" w:hAnsi="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项目</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年初结转和结余</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本年收入</w:t>
            </w:r>
          </w:p>
        </w:tc>
        <w:tc>
          <w:tcPr>
            <w:tcW w:w="345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本年支出</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年末结转和结余</w:t>
            </w:r>
          </w:p>
        </w:tc>
      </w:tr>
      <w:tr>
        <w:tblPrEx>
          <w:tblCellMar>
            <w:top w:w="0" w:type="dxa"/>
            <w:left w:w="0" w:type="dxa"/>
            <w:bottom w:w="0" w:type="dxa"/>
            <w:right w:w="0" w:type="dxa"/>
          </w:tblCellMar>
        </w:tblPrEx>
        <w:trPr>
          <w:trHeight w:val="312" w:hRule="atLeast"/>
          <w:jc w:val="center"/>
        </w:trPr>
        <w:tc>
          <w:tcPr>
            <w:tcW w:w="1136"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科目名称</w:t>
            </w: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小计</w:t>
            </w: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基本支出</w:t>
            </w: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项目支出</w:t>
            </w: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r>
      <w:tr>
        <w:tblPrEx>
          <w:tblCellMar>
            <w:top w:w="0" w:type="dxa"/>
            <w:left w:w="0" w:type="dxa"/>
            <w:bottom w:w="0" w:type="dxa"/>
            <w:right w:w="0" w:type="dxa"/>
          </w:tblCellMar>
        </w:tblPrEx>
        <w:trPr>
          <w:trHeight w:val="312" w:hRule="atLeast"/>
          <w:jc w:val="center"/>
        </w:trPr>
        <w:tc>
          <w:tcPr>
            <w:tcW w:w="113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r>
      <w:tr>
        <w:tblPrEx>
          <w:tblCellMar>
            <w:top w:w="0" w:type="dxa"/>
            <w:left w:w="0" w:type="dxa"/>
            <w:bottom w:w="0" w:type="dxa"/>
            <w:right w:w="0" w:type="dxa"/>
          </w:tblCellMar>
        </w:tblPrEx>
        <w:trPr>
          <w:trHeight w:val="312" w:hRule="atLeast"/>
          <w:jc w:val="center"/>
        </w:trPr>
        <w:tc>
          <w:tcPr>
            <w:tcW w:w="113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6</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b/>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bl>
    <w:p>
      <w:pPr>
        <w:rPr>
          <w:b/>
        </w:rPr>
      </w:pPr>
      <w:r>
        <w:rPr>
          <w:rFonts w:hint="eastAsia" w:ascii="宋体" w:hAnsi="宋体"/>
        </w:rPr>
        <w:t>注：</w:t>
      </w:r>
      <w:r>
        <w:rPr>
          <w:rFonts w:hint="eastAsia" w:ascii="宋体" w:hAnsi="宋体" w:eastAsia="宋体" w:cs="宋体"/>
          <w:color w:val="000000"/>
          <w:sz w:val="22"/>
          <w:lang w:val="en-US" w:eastAsia="zh-CN"/>
        </w:rPr>
        <w:t>本部门本年度无相关收支，按要求空表列示。</w:t>
      </w:r>
      <w:r>
        <w:rPr>
          <w:b/>
        </w:rPr>
        <w:br w:type="page"/>
      </w:r>
    </w:p>
    <w:tbl>
      <w:tblPr>
        <w:tblStyle w:val="8"/>
        <w:tblW w:w="9918" w:type="dxa"/>
        <w:jc w:val="center"/>
        <w:tblLayout w:type="autofit"/>
        <w:tblCellMar>
          <w:top w:w="0" w:type="dxa"/>
          <w:left w:w="0" w:type="dxa"/>
          <w:bottom w:w="0" w:type="dxa"/>
          <w:right w:w="0" w:type="dxa"/>
        </w:tblCellMar>
      </w:tblPr>
      <w:tblGrid>
        <w:gridCol w:w="3830"/>
        <w:gridCol w:w="36"/>
        <w:gridCol w:w="36"/>
        <w:gridCol w:w="3726"/>
        <w:gridCol w:w="470"/>
        <w:gridCol w:w="910"/>
        <w:gridCol w:w="910"/>
      </w:tblGrid>
      <w:tr>
        <w:tblPrEx>
          <w:tblCellMar>
            <w:top w:w="0" w:type="dxa"/>
            <w:left w:w="0" w:type="dxa"/>
            <w:bottom w:w="0" w:type="dxa"/>
            <w:right w:w="0" w:type="dxa"/>
          </w:tblCellMar>
        </w:tblPrEx>
        <w:trPr>
          <w:trHeight w:val="840" w:hRule="atLeast"/>
          <w:jc w:val="center"/>
        </w:trPr>
        <w:tc>
          <w:tcPr>
            <w:tcW w:w="9918" w:type="dxa"/>
            <w:gridSpan w:val="7"/>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国有资本经营预算财政拨款支出决算表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color w:val="000000"/>
                <w:sz w:val="20"/>
                <w:szCs w:val="20"/>
              </w:rPr>
            </w:pPr>
            <w:r>
              <w:rPr>
                <w:rFonts w:hint="eastAsia" w:ascii="宋体" w:hAnsi="宋体"/>
                <w:color w:val="000000"/>
                <w:kern w:val="0"/>
                <w:sz w:val="20"/>
                <w:szCs w:val="20"/>
              </w:rPr>
              <w:t>公开09表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color w:val="000000"/>
                <w:sz w:val="20"/>
                <w:szCs w:val="20"/>
              </w:rPr>
            </w:pPr>
            <w:r>
              <w:rPr>
                <w:rFonts w:hint="eastAsia" w:ascii="宋体" w:hAnsi="宋体"/>
                <w:color w:val="000000"/>
                <w:kern w:val="0"/>
                <w:sz w:val="20"/>
                <w:szCs w:val="20"/>
              </w:rPr>
              <w:t>部门：</w:t>
            </w:r>
            <w:r>
              <w:rPr>
                <w:rFonts w:hint="eastAsia" w:ascii="宋体" w:hAnsi="宋体"/>
                <w:color w:val="000000"/>
                <w:kern w:val="0"/>
                <w:sz w:val="20"/>
                <w:szCs w:val="20"/>
                <w:lang w:val="en-US" w:eastAsia="zh-CN"/>
              </w:rPr>
              <w:t>中国共产主义青年团张家口市委员会</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color w:val="000000"/>
                <w:sz w:val="20"/>
                <w:szCs w:val="20"/>
              </w:rPr>
            </w:pPr>
            <w:r>
              <w:rPr>
                <w:rFonts w:hint="eastAsia" w:ascii="宋体" w:hAnsi="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科目</w:t>
            </w:r>
          </w:p>
        </w:tc>
        <w:tc>
          <w:tcPr>
            <w:tcW w:w="0" w:type="auto"/>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本年支出</w:t>
            </w:r>
          </w:p>
        </w:tc>
      </w:tr>
      <w:tr>
        <w:tblPrEx>
          <w:tblCellMar>
            <w:top w:w="0" w:type="dxa"/>
            <w:left w:w="0" w:type="dxa"/>
            <w:bottom w:w="0" w:type="dxa"/>
            <w:right w:w="0" w:type="dxa"/>
          </w:tblCellMar>
        </w:tblPrEx>
        <w:trPr>
          <w:trHeight w:val="615" w:hRule="atLeast"/>
          <w:jc w:val="center"/>
        </w:trPr>
        <w:tc>
          <w:tcPr>
            <w:tcW w:w="130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功能分类科目编码</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科目名称</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小计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基本支出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项目支出</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3</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b/>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43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43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43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43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43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bl>
    <w:p>
      <w:pPr>
        <w:rPr>
          <w:rFonts w:ascii="黑体" w:hAnsi="黑体" w:eastAsia="黑体" w:cs="黑体"/>
          <w:sz w:val="56"/>
          <w:szCs w:val="72"/>
        </w:rPr>
      </w:pPr>
      <w:r>
        <w:rPr>
          <w:rFonts w:hint="eastAsia" w:ascii="宋体" w:hAnsi="宋体" w:eastAsia="宋体" w:cs="宋体"/>
        </w:rPr>
        <w:t>注：</w:t>
      </w:r>
      <w:r>
        <w:rPr>
          <w:rFonts w:hint="eastAsia" w:ascii="宋体" w:hAnsi="宋体" w:eastAsia="宋体" w:cs="宋体"/>
          <w:color w:val="000000"/>
          <w:sz w:val="22"/>
          <w:lang w:val="en-US" w:eastAsia="zh-CN"/>
        </w:rPr>
        <w:t>本部门本年度无相关收支，按要求空表列示。</w:t>
      </w: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
      <w:pPr>
        <w:widowControl/>
        <w:spacing w:after="160" w:line="580" w:lineRule="exact"/>
        <w:ind w:firstLine="2275" w:firstLineChars="316"/>
        <w:rPr>
          <w:rFonts w:ascii="Times New Roman" w:hAnsi="Times New Roman" w:eastAsia="黑体" w:cs="Times New Roman"/>
          <w:sz w:val="32"/>
          <w:szCs w:val="32"/>
        </w:rPr>
        <w:sectPr>
          <w:pgSz w:w="11906" w:h="16838"/>
          <w:pgMar w:top="1134" w:right="1531" w:bottom="1208" w:left="1531" w:header="851" w:footer="992" w:gutter="0"/>
          <w:pgNumType w:fmt="numberInDash"/>
          <w:cols w:space="0" w:num="1"/>
          <w:titlePg/>
          <w:docGrid w:type="lines" w:linePitch="312" w:charSpace="0"/>
        </w:sectPr>
      </w:pPr>
      <w:r>
        <w:rPr>
          <w:sz w:val="72"/>
        </w:rPr>
        <w:pict>
          <v:rect id="1041" o:spid="_x0000_s1026" o:spt="1" style="position:absolute;left:0pt;margin-left:-85.7pt;margin-top:238.15pt;height:173.25pt;width:613.65pt;z-index:251659264;mso-width-relative:page;mso-height-relative:page;" filled="f" stroked="f" coordsize="21600,21600">
            <v:path/>
            <v:fill on="f" focussize="0,0"/>
            <v:stroke on="f" weight="0.5pt"/>
            <v:imagedata o:title=""/>
            <o:lock v:ext="edit"/>
            <v:textbox>
              <w:txbxContent>
                <w:p>
                  <w:pPr>
                    <w:widowControl/>
                    <w:jc w:val="center"/>
                    <w:rPr>
                      <w:rFonts w:ascii="黑体" w:hAnsi="黑体" w:eastAsia="黑体" w:cs="黑体"/>
                      <w:color w:val="000000"/>
                      <w:sz w:val="96"/>
                      <w:szCs w:val="96"/>
                    </w:rPr>
                  </w:pPr>
                  <w:r>
                    <w:rPr>
                      <w:rFonts w:hint="eastAsia" w:ascii="黑体" w:hAnsi="黑体" w:eastAsia="黑体" w:cs="黑体"/>
                      <w:color w:val="000000"/>
                      <w:sz w:val="96"/>
                      <w:szCs w:val="96"/>
                    </w:rPr>
                    <w:t xml:space="preserve"> </w:t>
                  </w:r>
                </w:p>
                <w:p>
                  <w:pPr>
                    <w:widowControl/>
                    <w:jc w:val="center"/>
                    <w:rPr>
                      <w:rFonts w:ascii="黑体" w:hAnsi="黑体" w:eastAsia="黑体" w:cs="黑体"/>
                      <w:color w:val="000000"/>
                      <w:sz w:val="96"/>
                      <w:szCs w:val="96"/>
                    </w:rPr>
                  </w:pPr>
                </w:p>
              </w:txbxContent>
            </v:textbox>
          </v:rect>
        </w:pict>
      </w:r>
    </w:p>
    <w:p>
      <w:pPr>
        <w:widowControl/>
        <w:spacing w:line="580" w:lineRule="exact"/>
        <w:ind w:firstLine="640" w:firstLineChars="200"/>
        <w:rPr>
          <w:rFonts w:eastAsia="黑体"/>
          <w:sz w:val="32"/>
          <w:szCs w:val="32"/>
        </w:rPr>
      </w:pPr>
    </w:p>
    <w:p>
      <w:pPr>
        <w:widowControl/>
        <w:jc w:val="center"/>
        <w:rPr>
          <w:rFonts w:eastAsia="黑体"/>
          <w:sz w:val="32"/>
          <w:szCs w:val="32"/>
        </w:rPr>
      </w:pPr>
      <w:r>
        <w:rPr>
          <w:rFonts w:hint="eastAsia" w:eastAsia="黑体"/>
          <w:sz w:val="32"/>
          <w:szCs w:val="32"/>
        </w:rPr>
        <w:t xml:space="preserve">      </w:t>
      </w: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r>
        <w:rPr>
          <w:rFonts w:hint="eastAsia" w:eastAsia="黑体"/>
          <w:sz w:val="32"/>
          <w:szCs w:val="32"/>
        </w:rPr>
        <w:drawing>
          <wp:anchor distT="0" distB="0" distL="0" distR="0" simplePos="0" relativeHeight="251659264" behindDoc="0" locked="0" layoutInCell="1" allowOverlap="1">
            <wp:simplePos x="0" y="0"/>
            <wp:positionH relativeFrom="column">
              <wp:posOffset>23495</wp:posOffset>
            </wp:positionH>
            <wp:positionV relativeFrom="margin">
              <wp:posOffset>3341370</wp:posOffset>
            </wp:positionV>
            <wp:extent cx="660400" cy="660400"/>
            <wp:effectExtent l="0" t="0" r="0" b="0"/>
            <wp:wrapNone/>
            <wp:docPr id="1042" name="图片 74" descr="32303036343138343b32303038313639313bcafdbeddb7d6cef6"/>
            <wp:cNvGraphicFramePr/>
            <a:graphic xmlns:a="http://schemas.openxmlformats.org/drawingml/2006/main">
              <a:graphicData uri="http://schemas.openxmlformats.org/drawingml/2006/picture">
                <pic:pic xmlns:pic="http://schemas.openxmlformats.org/drawingml/2006/picture">
                  <pic:nvPicPr>
                    <pic:cNvPr id="1042" name="图片 74" descr="32303036343138343b32303038313639313bcafdbeddb7d6cef6"/>
                    <pic:cNvPicPr/>
                  </pic:nvPicPr>
                  <pic:blipFill>
                    <a:blip r:embed="rId15" cstate="print"/>
                    <a:srcRect/>
                    <a:stretch>
                      <a:fillRect/>
                    </a:stretch>
                  </pic:blipFill>
                  <pic:spPr>
                    <a:xfrm>
                      <a:off x="0" y="0"/>
                      <a:ext cx="660400" cy="660400"/>
                    </a:xfrm>
                    <a:prstGeom prst="rect">
                      <a:avLst/>
                    </a:prstGeom>
                  </pic:spPr>
                </pic:pic>
              </a:graphicData>
            </a:graphic>
          </wp:anchor>
        </w:drawing>
      </w:r>
    </w:p>
    <w:p>
      <w:pPr>
        <w:widowControl/>
        <w:jc w:val="center"/>
        <w:rPr>
          <w:rFonts w:ascii="黑体" w:hAnsi="黑体" w:eastAsia="黑体" w:cs="黑体"/>
          <w:color w:val="000000"/>
          <w:sz w:val="44"/>
          <w:szCs w:val="44"/>
        </w:rPr>
      </w:pPr>
      <w:r>
        <w:rPr>
          <w:rFonts w:hint="eastAsia" w:ascii="黑体" w:hAnsi="黑体" w:eastAsia="黑体" w:cs="黑体"/>
          <w:color w:val="000000"/>
          <w:sz w:val="44"/>
          <w:szCs w:val="44"/>
        </w:rPr>
        <w:t xml:space="preserve">    </w:t>
      </w:r>
      <w:r>
        <w:rPr>
          <w:rFonts w:hint="eastAsia" w:ascii="黑体" w:hAnsi="黑体" w:eastAsia="黑体" w:cs="黑体"/>
          <w:color w:val="000000"/>
          <w:sz w:val="44"/>
          <w:szCs w:val="44"/>
          <w:lang w:val="en-US" w:eastAsia="zh-CN"/>
        </w:rPr>
        <w:t xml:space="preserve"> </w:t>
      </w:r>
      <w:r>
        <w:rPr>
          <w:rFonts w:hint="eastAsia" w:ascii="黑体" w:hAnsi="黑体" w:eastAsia="黑体" w:cs="黑体"/>
          <w:color w:val="000000"/>
          <w:sz w:val="44"/>
          <w:szCs w:val="44"/>
        </w:rPr>
        <w:t>第三部分 2021年度部门决算情况说明</w:t>
      </w:r>
    </w:p>
    <w:p>
      <w:pPr>
        <w:rPr>
          <w:rFonts w:ascii="黑体" w:eastAsia="黑体" w:cs="Times New Roman"/>
          <w:sz w:val="32"/>
          <w:szCs w:val="32"/>
        </w:rPr>
      </w:pPr>
      <w:r>
        <w:rPr>
          <w:rFonts w:hint="eastAsia" w:ascii="黑体" w:hAnsi="黑体" w:eastAsia="黑体" w:cs="黑体"/>
          <w:color w:val="000000"/>
          <w:sz w:val="44"/>
          <w:szCs w:val="44"/>
        </w:rPr>
        <w:br w:type="page"/>
      </w:r>
    </w:p>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一、收入</w:t>
      </w:r>
      <w:r>
        <w:rPr>
          <w:rFonts w:hint="eastAsia" w:ascii="黑体" w:hAnsi="Cambria" w:eastAsia="黑体" w:cs="黑体"/>
          <w:kern w:val="0"/>
          <w:sz w:val="32"/>
          <w:szCs w:val="32"/>
        </w:rPr>
        <w:t>支出</w:t>
      </w:r>
      <w:r>
        <w:rPr>
          <w:rFonts w:hint="eastAsia" w:ascii="黑体" w:eastAsia="黑体" w:cs="Times New Roman"/>
          <w:sz w:val="32"/>
          <w:szCs w:val="32"/>
        </w:rPr>
        <w:t>决算总体情况说明</w:t>
      </w:r>
    </w:p>
    <w:p>
      <w:pPr>
        <w:keepNext/>
        <w:keepLines/>
        <w:snapToGrid w:val="0"/>
        <w:spacing w:line="580" w:lineRule="exact"/>
        <w:ind w:firstLine="640" w:firstLineChars="200"/>
        <w:outlineLvl w:val="1"/>
        <w:rPr>
          <w:rFonts w:hint="eastAsia" w:ascii="仿宋_GB2312" w:hAnsi="Times New Roman" w:eastAsia="仿宋_GB2312" w:cs="Wingdings"/>
          <w:kern w:val="2"/>
          <w:sz w:val="32"/>
          <w:szCs w:val="32"/>
          <w:lang w:val="en-US" w:eastAsia="zh-CN" w:bidi="ar-SA"/>
        </w:rPr>
      </w:pPr>
      <w:r>
        <w:rPr>
          <w:rFonts w:hint="eastAsia" w:ascii="仿宋_GB2312" w:hAnsi="Times New Roman" w:eastAsia="仿宋_GB2312" w:cs="Wingdings"/>
          <w:kern w:val="2"/>
          <w:sz w:val="32"/>
          <w:szCs w:val="32"/>
          <w:lang w:val="en-US" w:eastAsia="zh-CN" w:bidi="ar-SA"/>
        </w:rPr>
        <w:t xml:space="preserve"> 本部门2021年度收、支总计589.4万元。与2020年度决算相比，收支各减少43.54 万元，下降7.9%，主要原因是2021年财政拨款压减，因疫情原因，部分培训由室内转向室外。</w:t>
      </w:r>
    </w:p>
    <w:p>
      <w:pPr>
        <w:pStyle w:val="2"/>
        <w:rPr>
          <w:rFonts w:hint="eastAsia" w:ascii="仿宋_GB2312" w:hAnsi="Times New Roman" w:eastAsia="仿宋_GB2312" w:cs="Wingdings"/>
          <w:kern w:val="2"/>
          <w:sz w:val="32"/>
          <w:szCs w:val="32"/>
          <w:lang w:val="en-US" w:eastAsia="zh-CN" w:bidi="ar-SA"/>
        </w:rPr>
      </w:pPr>
      <w:r>
        <w:drawing>
          <wp:anchor distT="0" distB="0" distL="114300" distR="114300" simplePos="0" relativeHeight="251666432" behindDoc="1" locked="0" layoutInCell="1" allowOverlap="1">
            <wp:simplePos x="0" y="0"/>
            <wp:positionH relativeFrom="column">
              <wp:posOffset>487045</wp:posOffset>
            </wp:positionH>
            <wp:positionV relativeFrom="paragraph">
              <wp:posOffset>215900</wp:posOffset>
            </wp:positionV>
            <wp:extent cx="4572000" cy="1437640"/>
            <wp:effectExtent l="4445" t="4445" r="14605" b="5715"/>
            <wp:wrapThrough wrapText="bothSides">
              <wp:wrapPolygon>
                <wp:start x="-21" y="-67"/>
                <wp:lineTo x="-21" y="21400"/>
                <wp:lineTo x="21579" y="21400"/>
                <wp:lineTo x="21579" y="-67"/>
                <wp:lineTo x="-21" y="-67"/>
              </wp:wrapPolygon>
            </wp:wrapThrough>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pPr>
        <w:pStyle w:val="2"/>
      </w:pPr>
    </w:p>
    <w:p>
      <w:pPr>
        <w:pStyle w:val="2"/>
      </w:pPr>
    </w:p>
    <w:p>
      <w:pPr>
        <w:pStyle w:val="2"/>
        <w:rPr>
          <w:rFonts w:hint="eastAsia"/>
          <w:lang w:val="en-US" w:eastAsia="zh-CN"/>
        </w:rPr>
      </w:pPr>
    </w:p>
    <w:p>
      <w:pPr>
        <w:keepNext/>
        <w:keepLines/>
        <w:numPr>
          <w:ilvl w:val="0"/>
          <w:numId w:val="1"/>
        </w:numPr>
        <w:snapToGrid w:val="0"/>
        <w:spacing w:line="580" w:lineRule="exact"/>
        <w:ind w:left="0" w:leftChars="0" w:firstLine="640" w:firstLineChars="200"/>
        <w:outlineLvl w:val="1"/>
        <w:rPr>
          <w:rFonts w:hint="eastAsia" w:ascii="黑体" w:eastAsia="黑体" w:cs="Times New Roman"/>
          <w:sz w:val="32"/>
          <w:szCs w:val="32"/>
        </w:rPr>
      </w:pPr>
      <w:r>
        <w:rPr>
          <w:rFonts w:hint="eastAsia" w:ascii="黑体" w:eastAsia="黑体" w:cs="Times New Roman"/>
          <w:sz w:val="32"/>
          <w:szCs w:val="32"/>
        </w:rPr>
        <w:t>收入决算情况说明</w:t>
      </w:r>
    </w:p>
    <w:p>
      <w:pPr>
        <w:adjustRightInd w:val="0"/>
        <w:snapToGrid w:val="0"/>
        <w:spacing w:line="600" w:lineRule="exact"/>
        <w:ind w:firstLine="640" w:firstLineChars="200"/>
        <w:rPr>
          <w:rFonts w:hint="eastAsia" w:ascii="仿宋_GB2312" w:hAnsi="Times New Roman" w:eastAsia="仿宋_GB2312" w:cs="Wingdings"/>
          <w:sz w:val="32"/>
          <w:szCs w:val="32"/>
          <w:lang w:eastAsia="zh-CN"/>
        </w:rPr>
      </w:pPr>
      <w:r>
        <w:rPr>
          <w:rFonts w:hint="eastAsia" w:ascii="仿宋_GB2312" w:hAnsi="Times New Roman" w:eastAsia="仿宋_GB2312" w:cs="Wingdings"/>
          <w:sz w:val="32"/>
          <w:szCs w:val="32"/>
        </w:rPr>
        <w:t>本部门202</w:t>
      </w:r>
      <w:r>
        <w:rPr>
          <w:rFonts w:hint="eastAsia" w:ascii="仿宋_GB2312" w:hAnsi="Times New Roman" w:eastAsia="仿宋_GB2312" w:cs="Wingdings"/>
          <w:sz w:val="32"/>
          <w:szCs w:val="32"/>
          <w:lang w:val="en-US" w:eastAsia="zh-CN"/>
        </w:rPr>
        <w:t>1</w:t>
      </w:r>
      <w:r>
        <w:rPr>
          <w:rFonts w:hint="eastAsia" w:ascii="仿宋_GB2312" w:hAnsi="Times New Roman" w:eastAsia="仿宋_GB2312" w:cs="Wingdings"/>
          <w:sz w:val="32"/>
          <w:szCs w:val="32"/>
        </w:rPr>
        <w:t>年度本年收入合计</w:t>
      </w:r>
      <w:r>
        <w:rPr>
          <w:rFonts w:hint="eastAsia" w:ascii="仿宋_GB2312" w:hAnsi="Times New Roman" w:eastAsia="仿宋_GB2312" w:cs="Wingdings"/>
          <w:sz w:val="32"/>
          <w:szCs w:val="32"/>
          <w:lang w:val="en-US" w:eastAsia="zh-CN"/>
        </w:rPr>
        <w:t>569.1</w:t>
      </w:r>
      <w:r>
        <w:rPr>
          <w:rFonts w:hint="eastAsia" w:ascii="仿宋_GB2312" w:hAnsi="Times New Roman" w:eastAsia="仿宋_GB2312" w:cs="Wingdings"/>
          <w:sz w:val="32"/>
          <w:szCs w:val="32"/>
        </w:rPr>
        <w:t>万元，其中：财政拨款收入</w:t>
      </w:r>
      <w:r>
        <w:rPr>
          <w:rFonts w:hint="eastAsia" w:ascii="仿宋_GB2312" w:hAnsi="Times New Roman" w:eastAsia="仿宋_GB2312" w:cs="Wingdings"/>
          <w:sz w:val="32"/>
          <w:szCs w:val="32"/>
          <w:lang w:val="en-US" w:eastAsia="zh-CN"/>
        </w:rPr>
        <w:t>569.1</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100.0</w:t>
      </w:r>
      <w:r>
        <w:rPr>
          <w:rFonts w:hint="eastAsia" w:ascii="仿宋_GB2312" w:hAnsi="Times New Roman" w:eastAsia="仿宋_GB2312" w:cs="Wingdings"/>
          <w:sz w:val="32"/>
          <w:szCs w:val="32"/>
        </w:rPr>
        <w:t>%</w:t>
      </w:r>
      <w:r>
        <w:rPr>
          <w:rFonts w:hint="eastAsia" w:ascii="仿宋_GB2312" w:hAnsi="Times New Roman" w:eastAsia="仿宋_GB2312" w:cs="Wingdings"/>
          <w:sz w:val="32"/>
          <w:szCs w:val="32"/>
          <w:lang w:eastAsia="zh-CN"/>
        </w:rPr>
        <w:t>。</w:t>
      </w:r>
    </w:p>
    <w:p>
      <w:pPr>
        <w:adjustRightInd w:val="0"/>
        <w:snapToGrid w:val="0"/>
        <w:spacing w:line="600" w:lineRule="exact"/>
        <w:ind w:firstLine="640" w:firstLineChars="200"/>
        <w:rPr>
          <w:rFonts w:hint="eastAsia" w:ascii="仿宋_GB2312" w:hAnsi="Times New Roman" w:eastAsia="仿宋_GB2312" w:cs="Wingdings"/>
          <w:sz w:val="32"/>
          <w:szCs w:val="32"/>
        </w:rPr>
      </w:pPr>
      <w:r>
        <w:rPr>
          <w:rFonts w:hint="eastAsia" w:ascii="仿宋_GB2312" w:hAnsi="Times New Roman" w:eastAsia="仿宋_GB2312" w:cs="Wingdings"/>
          <w:sz w:val="32"/>
          <w:szCs w:val="32"/>
        </w:rPr>
        <w:t>如图所示：</w:t>
      </w:r>
    </w:p>
    <w:p>
      <w:pPr>
        <w:pStyle w:val="2"/>
        <w:rPr>
          <w:rFonts w:hint="eastAsia" w:ascii="仿宋_GB2312" w:hAnsi="Times New Roman" w:eastAsia="仿宋_GB2312" w:cs="Wingdings"/>
          <w:sz w:val="32"/>
          <w:szCs w:val="32"/>
        </w:rPr>
      </w:pPr>
      <w:r>
        <w:drawing>
          <wp:anchor distT="0" distB="0" distL="114300" distR="114300" simplePos="0" relativeHeight="251663360" behindDoc="1" locked="0" layoutInCell="1" allowOverlap="1">
            <wp:simplePos x="0" y="0"/>
            <wp:positionH relativeFrom="column">
              <wp:posOffset>410845</wp:posOffset>
            </wp:positionH>
            <wp:positionV relativeFrom="paragraph">
              <wp:posOffset>187325</wp:posOffset>
            </wp:positionV>
            <wp:extent cx="4572000" cy="2219325"/>
            <wp:effectExtent l="4445" t="4445" r="14605" b="62230"/>
            <wp:wrapTight wrapText="bothSides">
              <wp:wrapPolygon>
                <wp:start x="-21" y="-43"/>
                <wp:lineTo x="-21" y="21464"/>
                <wp:lineTo x="21579" y="21464"/>
                <wp:lineTo x="21579" y="-43"/>
                <wp:lineTo x="-21" y="-43"/>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pPr>
        <w:pStyle w:val="2"/>
        <w:rPr>
          <w:rFonts w:hint="eastAsia" w:ascii="仿宋_GB2312" w:hAnsi="Times New Roman" w:eastAsia="仿宋_GB2312" w:cs="Wingdings"/>
          <w:sz w:val="32"/>
          <w:szCs w:val="32"/>
        </w:rPr>
      </w:pPr>
    </w:p>
    <w:p>
      <w:pPr>
        <w:pStyle w:val="2"/>
        <w:rPr>
          <w:rFonts w:hint="eastAsia" w:ascii="仿宋_GB2312" w:hAnsi="Times New Roman" w:eastAsia="仿宋_GB2312" w:cs="Wingdings"/>
          <w:sz w:val="32"/>
          <w:szCs w:val="32"/>
        </w:rPr>
      </w:pPr>
    </w:p>
    <w:p>
      <w:pPr>
        <w:pStyle w:val="2"/>
        <w:rPr>
          <w:rFonts w:hint="eastAsia" w:ascii="仿宋_GB2312" w:hAnsi="Times New Roman" w:eastAsia="仿宋_GB2312" w:cs="Wingdings"/>
          <w:sz w:val="32"/>
          <w:szCs w:val="32"/>
        </w:rPr>
      </w:pPr>
    </w:p>
    <w:p>
      <w:pPr>
        <w:pStyle w:val="2"/>
        <w:rPr>
          <w:rFonts w:hint="eastAsia" w:ascii="仿宋_GB2312" w:hAnsi="Times New Roman" w:eastAsia="仿宋_GB2312" w:cs="Wingdings"/>
          <w:sz w:val="32"/>
          <w:szCs w:val="32"/>
        </w:rPr>
      </w:pPr>
    </w:p>
    <w:p>
      <w:pPr>
        <w:pStyle w:val="2"/>
        <w:rPr>
          <w:rFonts w:hint="eastAsia" w:ascii="仿宋_GB2312" w:hAnsi="Times New Roman" w:eastAsia="仿宋_GB2312" w:cs="Wingdings"/>
          <w:sz w:val="32"/>
          <w:szCs w:val="32"/>
        </w:rPr>
      </w:pPr>
    </w:p>
    <w:p>
      <w:pPr>
        <w:pStyle w:val="2"/>
        <w:rPr>
          <w:rFonts w:hint="eastAsia" w:ascii="仿宋_GB2312" w:hAnsi="Times New Roman" w:eastAsia="仿宋_GB2312" w:cs="Wingdings"/>
          <w:sz w:val="32"/>
          <w:szCs w:val="32"/>
        </w:rPr>
      </w:pPr>
      <w:r>
        <w:rPr>
          <w:sz w:val="32"/>
        </w:rPr>
        <w:pict>
          <v:shape id="_x0000_s1038" o:spid="_x0000_s1038" o:spt="202" type="#_x0000_t202" style="position:absolute;left:0pt;margin-left:55.05pt;margin-top:23.3pt;height:38.05pt;width:326.85pt;z-index:-251653120;mso-width-relative:page;mso-height-relative:page;" fillcolor="#FFFFFF" filled="t" stroked="f" coordsize="21600,21600" o:gfxdata="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EAS&#10;fBLTAAAACgEAAA8AAAAAAAAAAQAgAAAAIgAAAGRycy9kb3ducmV2LnhtbFBLAQIUABQAAAAIAIdO&#10;4kCwLrKYYQIAAKsEAAAOAAAAAAAAAAEAIAAAACIBAABkcnMvZTJvRG9jLnhtbFBLBQYAAAAABgAG&#10;AFkBAAD1BQAAAAA=&#10;">
            <v:path/>
            <v:fill on="t" focussize="0,0"/>
            <v:stroke on="f" weight="0.5pt"/>
            <v:imagedata o:title=""/>
            <o:lock v:ext="edit" aspectratio="f"/>
            <v:textbox>
              <w:txbxContent>
                <w:p>
                  <w:pPr>
                    <w:adjustRightInd w:val="0"/>
                    <w:snapToGrid w:val="0"/>
                    <w:spacing w:after="160" w:line="560" w:lineRule="exact"/>
                    <w:jc w:val="center"/>
                    <w:rPr>
                      <w:rFonts w:hint="eastAsia" w:ascii="仿宋_GB2312" w:hAnsi="Times New Roman" w:eastAsia="仿宋_GB2312" w:cs="Wingdings"/>
                      <w:sz w:val="28"/>
                      <w:szCs w:val="28"/>
                      <w:lang w:eastAsia="zh-CN"/>
                    </w:rPr>
                  </w:pPr>
                  <w:r>
                    <w:rPr>
                      <w:rFonts w:hint="eastAsia" w:ascii="仿宋_GB2312" w:hAnsi="Times New Roman" w:eastAsia="仿宋_GB2312" w:cs="Wingdings"/>
                      <w:sz w:val="28"/>
                      <w:szCs w:val="28"/>
                    </w:rPr>
                    <w:t>图</w:t>
                  </w:r>
                  <w:r>
                    <w:rPr>
                      <w:rFonts w:hint="eastAsia" w:ascii="仿宋_GB2312" w:hAnsi="Times New Roman" w:eastAsia="仿宋_GB2312" w:cs="Wingdings"/>
                      <w:sz w:val="28"/>
                      <w:szCs w:val="28"/>
                      <w:lang w:val="en-US" w:eastAsia="zh-CN"/>
                    </w:rPr>
                    <w:t>2</w:t>
                  </w:r>
                  <w:r>
                    <w:rPr>
                      <w:rFonts w:hint="eastAsia" w:ascii="仿宋_GB2312" w:hAnsi="Times New Roman" w:eastAsia="仿宋_GB2312" w:cs="Wingdings"/>
                      <w:sz w:val="28"/>
                      <w:szCs w:val="28"/>
                    </w:rPr>
                    <w:t>：</w:t>
                  </w:r>
                  <w:r>
                    <w:rPr>
                      <w:rFonts w:hint="eastAsia" w:ascii="仿宋_GB2312" w:hAnsi="Times New Roman" w:eastAsia="仿宋_GB2312" w:cs="Wingdings"/>
                      <w:sz w:val="28"/>
                      <w:szCs w:val="28"/>
                      <w:lang w:eastAsia="zh-CN"/>
                    </w:rPr>
                    <w:t>收入构成情况</w:t>
                  </w:r>
                </w:p>
                <w:p>
                  <w:pPr>
                    <w:spacing w:after="160" w:line="480" w:lineRule="auto"/>
                    <w:rPr>
                      <w:rFonts w:ascii="Times New Roman" w:hAnsi="Times New Roman" w:eastAsia="宋体" w:cs="Times New Roman"/>
                      <w:sz w:val="20"/>
                    </w:rPr>
                  </w:pPr>
                </w:p>
              </w:txbxContent>
            </v:textbox>
          </v:shape>
        </w:pict>
      </w:r>
    </w:p>
    <w:p>
      <w:pPr>
        <w:pStyle w:val="2"/>
        <w:ind w:left="0" w:leftChars="0" w:firstLine="0" w:firstLineChars="0"/>
        <w:rPr>
          <w:rFonts w:hint="eastAsia" w:ascii="仿宋_GB2312" w:hAnsi="Times New Roman" w:eastAsia="仿宋_GB2312" w:cs="Wingdings"/>
          <w:sz w:val="32"/>
          <w:szCs w:val="32"/>
        </w:rPr>
      </w:pPr>
    </w:p>
    <w:p>
      <w:pPr>
        <w:keepNext/>
        <w:keepLines/>
        <w:snapToGrid w:val="0"/>
        <w:spacing w:line="580" w:lineRule="exact"/>
        <w:outlineLvl w:val="1"/>
        <w:rPr>
          <w:rFonts w:hint="eastAsia" w:ascii="黑体" w:eastAsia="黑体" w:cs="Times New Roman"/>
          <w:sz w:val="32"/>
          <w:szCs w:val="32"/>
        </w:rPr>
      </w:pPr>
    </w:p>
    <w:p>
      <w:pPr>
        <w:pStyle w:val="2"/>
        <w:rPr>
          <w:rFonts w:hint="eastAsia"/>
        </w:rPr>
      </w:pPr>
    </w:p>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三、支出决算情况说明</w:t>
      </w:r>
    </w:p>
    <w:p>
      <w:pPr>
        <w:adjustRightInd w:val="0"/>
        <w:snapToGrid w:val="0"/>
        <w:spacing w:line="600" w:lineRule="exact"/>
        <w:ind w:firstLine="640" w:firstLineChars="200"/>
        <w:rPr>
          <w:rFonts w:hint="eastAsia" w:ascii="仿宋_GB2312" w:hAnsi="Times New Roman" w:eastAsia="仿宋_GB2312" w:cs="Wingdings"/>
          <w:sz w:val="32"/>
          <w:szCs w:val="32"/>
        </w:rPr>
      </w:pPr>
      <w:r>
        <w:rPr>
          <w:rFonts w:hint="eastAsia" w:ascii="仿宋_GB2312" w:hAnsi="Times New Roman" w:eastAsia="仿宋_GB2312" w:cs="Wingdings"/>
          <w:sz w:val="32"/>
          <w:szCs w:val="32"/>
        </w:rPr>
        <w:t>本部门202</w:t>
      </w:r>
      <w:r>
        <w:rPr>
          <w:rFonts w:hint="eastAsia" w:ascii="仿宋_GB2312" w:hAnsi="Times New Roman" w:eastAsia="仿宋_GB2312" w:cs="Wingdings"/>
          <w:sz w:val="32"/>
          <w:szCs w:val="32"/>
          <w:lang w:val="en-US" w:eastAsia="zh-CN"/>
        </w:rPr>
        <w:t>1</w:t>
      </w:r>
      <w:r>
        <w:rPr>
          <w:rFonts w:hint="eastAsia" w:ascii="仿宋_GB2312" w:hAnsi="Times New Roman" w:eastAsia="仿宋_GB2312" w:cs="Wingdings"/>
          <w:sz w:val="32"/>
          <w:szCs w:val="32"/>
        </w:rPr>
        <w:t>年度本年支出合计</w:t>
      </w:r>
      <w:r>
        <w:rPr>
          <w:rFonts w:hint="eastAsia" w:ascii="仿宋_GB2312" w:hAnsi="Times New Roman" w:eastAsia="仿宋_GB2312" w:cs="Wingdings"/>
          <w:sz w:val="32"/>
          <w:szCs w:val="32"/>
          <w:lang w:val="en-US" w:eastAsia="zh-CN"/>
        </w:rPr>
        <w:t>589.4</w:t>
      </w:r>
      <w:r>
        <w:rPr>
          <w:rFonts w:hint="eastAsia" w:ascii="仿宋_GB2312" w:hAnsi="Times New Roman" w:eastAsia="仿宋_GB2312" w:cs="Wingdings"/>
          <w:sz w:val="32"/>
          <w:szCs w:val="32"/>
        </w:rPr>
        <w:t>万元，其中：基本支出</w:t>
      </w:r>
      <w:r>
        <w:rPr>
          <w:rFonts w:hint="eastAsia" w:ascii="仿宋_GB2312" w:hAnsi="Times New Roman" w:eastAsia="仿宋_GB2312" w:cs="Wingdings"/>
          <w:sz w:val="32"/>
          <w:szCs w:val="32"/>
          <w:lang w:val="en-US" w:eastAsia="zh-CN"/>
        </w:rPr>
        <w:t>478.21</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81.1</w:t>
      </w:r>
      <w:r>
        <w:rPr>
          <w:rFonts w:hint="eastAsia" w:ascii="仿宋_GB2312" w:hAnsi="Times New Roman" w:eastAsia="仿宋_GB2312" w:cs="Wingdings"/>
          <w:sz w:val="32"/>
          <w:szCs w:val="32"/>
        </w:rPr>
        <w:t>%；项目支出</w:t>
      </w:r>
      <w:r>
        <w:rPr>
          <w:rFonts w:hint="eastAsia" w:ascii="仿宋_GB2312" w:hAnsi="Times New Roman" w:eastAsia="仿宋_GB2312" w:cs="Wingdings"/>
          <w:sz w:val="32"/>
          <w:szCs w:val="32"/>
          <w:lang w:val="en-US" w:eastAsia="zh-CN"/>
        </w:rPr>
        <w:t>111.19</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18.9</w:t>
      </w:r>
      <w:r>
        <w:rPr>
          <w:rFonts w:hint="eastAsia" w:ascii="仿宋_GB2312" w:hAnsi="Times New Roman" w:eastAsia="仿宋_GB2312" w:cs="Wingdings"/>
          <w:sz w:val="32"/>
          <w:szCs w:val="32"/>
        </w:rPr>
        <w:t>%</w:t>
      </w:r>
      <w:r>
        <w:rPr>
          <w:rFonts w:hint="eastAsia" w:ascii="仿宋_GB2312" w:hAnsi="Times New Roman" w:eastAsia="仿宋_GB2312" w:cs="Wingdings"/>
          <w:sz w:val="32"/>
          <w:szCs w:val="32"/>
          <w:lang w:eastAsia="zh-CN"/>
        </w:rPr>
        <w:t>。</w:t>
      </w:r>
      <w:r>
        <w:rPr>
          <w:rFonts w:hint="eastAsia" w:ascii="仿宋_GB2312" w:hAnsi="Times New Roman" w:eastAsia="仿宋_GB2312" w:cs="Wingdings"/>
          <w:sz w:val="32"/>
          <w:szCs w:val="32"/>
        </w:rPr>
        <w:t>如图所示：</w:t>
      </w:r>
    </w:p>
    <w:p>
      <w:pPr>
        <w:pStyle w:val="2"/>
        <w:rPr>
          <w:rFonts w:hint="eastAsia" w:ascii="仿宋_GB2312" w:hAnsi="Times New Roman" w:eastAsia="仿宋_GB2312" w:cs="Wingdings"/>
          <w:sz w:val="32"/>
          <w:szCs w:val="32"/>
        </w:rPr>
      </w:pPr>
      <w:r>
        <w:drawing>
          <wp:anchor distT="0" distB="0" distL="114300" distR="114300" simplePos="0" relativeHeight="251664384" behindDoc="1" locked="0" layoutInCell="1" allowOverlap="1">
            <wp:simplePos x="0" y="0"/>
            <wp:positionH relativeFrom="column">
              <wp:posOffset>447040</wp:posOffset>
            </wp:positionH>
            <wp:positionV relativeFrom="paragraph">
              <wp:posOffset>255905</wp:posOffset>
            </wp:positionV>
            <wp:extent cx="4572000" cy="2743200"/>
            <wp:effectExtent l="4445" t="4445" r="14605" b="14605"/>
            <wp:wrapTight wrapText="bothSides">
              <wp:wrapPolygon>
                <wp:start x="-21" y="-35"/>
                <wp:lineTo x="-21" y="21565"/>
                <wp:lineTo x="21579" y="21565"/>
                <wp:lineTo x="21579" y="-35"/>
                <wp:lineTo x="-21" y="-35"/>
              </wp:wrapPolygon>
            </wp:wrapTight>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pPr>
        <w:pStyle w:val="2"/>
        <w:rPr>
          <w:rFonts w:hint="eastAsia" w:ascii="仿宋_GB2312" w:hAnsi="Times New Roman" w:eastAsia="仿宋_GB2312" w:cs="Wingdings"/>
          <w:sz w:val="32"/>
          <w:szCs w:val="32"/>
        </w:rPr>
      </w:pPr>
    </w:p>
    <w:p>
      <w:pPr>
        <w:pStyle w:val="2"/>
        <w:rPr>
          <w:rFonts w:hint="eastAsia" w:ascii="仿宋_GB2312" w:hAnsi="Times New Roman" w:eastAsia="仿宋_GB2312" w:cs="Wingdings"/>
          <w:sz w:val="32"/>
          <w:szCs w:val="32"/>
        </w:rPr>
      </w:pPr>
    </w:p>
    <w:p>
      <w:pPr>
        <w:pStyle w:val="2"/>
        <w:rPr>
          <w:rFonts w:hint="eastAsia" w:ascii="仿宋_GB2312" w:hAnsi="Times New Roman" w:eastAsia="仿宋_GB2312" w:cs="Wingdings"/>
          <w:sz w:val="32"/>
          <w:szCs w:val="32"/>
        </w:rPr>
      </w:pPr>
    </w:p>
    <w:p>
      <w:pPr>
        <w:pStyle w:val="2"/>
        <w:rPr>
          <w:rFonts w:hint="eastAsia" w:ascii="仿宋_GB2312" w:hAnsi="Times New Roman" w:eastAsia="仿宋_GB2312" w:cs="Wingdings"/>
          <w:sz w:val="32"/>
          <w:szCs w:val="32"/>
        </w:rPr>
      </w:pPr>
    </w:p>
    <w:p>
      <w:pPr>
        <w:pStyle w:val="2"/>
        <w:rPr>
          <w:rFonts w:hint="eastAsia" w:ascii="仿宋_GB2312" w:hAnsi="Times New Roman" w:eastAsia="仿宋_GB2312" w:cs="Wingdings"/>
          <w:sz w:val="32"/>
          <w:szCs w:val="32"/>
        </w:rPr>
      </w:pPr>
    </w:p>
    <w:p>
      <w:pPr>
        <w:pStyle w:val="2"/>
        <w:rPr>
          <w:rFonts w:hint="eastAsia" w:ascii="仿宋_GB2312" w:hAnsi="Times New Roman" w:eastAsia="仿宋_GB2312" w:cs="Wingdings"/>
          <w:sz w:val="32"/>
          <w:szCs w:val="32"/>
        </w:rPr>
      </w:pPr>
    </w:p>
    <w:p>
      <w:pPr>
        <w:pStyle w:val="2"/>
        <w:rPr>
          <w:rFonts w:hint="eastAsia" w:ascii="仿宋_GB2312" w:hAnsi="Times New Roman" w:eastAsia="仿宋_GB2312" w:cs="Wingdings"/>
          <w:sz w:val="32"/>
          <w:szCs w:val="32"/>
        </w:rPr>
      </w:pPr>
    </w:p>
    <w:p>
      <w:pPr>
        <w:pStyle w:val="2"/>
        <w:rPr>
          <w:rFonts w:hint="eastAsia" w:ascii="仿宋_GB2312" w:hAnsi="Times New Roman" w:eastAsia="仿宋_GB2312" w:cs="Wingdings"/>
          <w:sz w:val="32"/>
          <w:szCs w:val="32"/>
        </w:rPr>
      </w:pPr>
    </w:p>
    <w:p>
      <w:pPr>
        <w:spacing w:line="580" w:lineRule="exact"/>
        <w:ind w:firstLine="640" w:firstLineChars="200"/>
        <w:outlineLvl w:val="1"/>
        <w:rPr>
          <w:rFonts w:hint="eastAsia" w:ascii="黑体" w:eastAsia="黑体" w:cs="Times New Roman"/>
          <w:sz w:val="32"/>
          <w:szCs w:val="32"/>
        </w:rPr>
      </w:pPr>
      <w:r>
        <w:rPr>
          <w:sz w:val="32"/>
        </w:rPr>
        <w:pict>
          <v:shape id="文本框 30" o:spid="_x0000_s1037" o:spt="202" type="#_x0000_t202" style="position:absolute;left:0pt;margin-left:51.1pt;margin-top:4.5pt;height:38.05pt;width:326.85pt;z-index:-251654144;mso-width-relative:page;mso-height-relative:page;" fillcolor="#FFFFFF" filled="t" stroked="f" coordsize="21600,21600" o:gfxdata="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EAS&#10;fBLTAAAACgEAAA8AAAAAAAAAAQAgAAAAIgAAAGRycy9kb3ducmV2LnhtbFBLAQIUABQAAAAIAIdO&#10;4kCwLrKYYQIAAKsEAAAOAAAAAAAAAAEAIAAAACIBAABkcnMvZTJvRG9jLnhtbFBLBQYAAAAABgAG&#10;AFkBAAD1BQAAAAA=&#10;">
            <v:path/>
            <v:fill on="t" focussize="0,0"/>
            <v:stroke on="f" weight="0.5pt"/>
            <v:imagedata o:title=""/>
            <o:lock v:ext="edit" aspectratio="f"/>
            <v:textbox>
              <w:txbxContent>
                <w:p>
                  <w:pPr>
                    <w:adjustRightInd w:val="0"/>
                    <w:snapToGrid w:val="0"/>
                    <w:spacing w:after="160" w:line="560" w:lineRule="exact"/>
                    <w:jc w:val="center"/>
                    <w:rPr>
                      <w:rFonts w:ascii="仿宋_GB2312" w:hAnsi="Times New Roman" w:eastAsia="仿宋_GB2312" w:cs="Wingdings"/>
                      <w:sz w:val="28"/>
                      <w:szCs w:val="28"/>
                    </w:rPr>
                  </w:pPr>
                  <w:r>
                    <w:rPr>
                      <w:rFonts w:hint="eastAsia" w:ascii="仿宋_GB2312" w:hAnsi="Times New Roman" w:eastAsia="仿宋_GB2312" w:cs="Wingdings"/>
                      <w:sz w:val="28"/>
                      <w:szCs w:val="28"/>
                    </w:rPr>
                    <w:t>图</w:t>
                  </w:r>
                  <w:r>
                    <w:rPr>
                      <w:rFonts w:hint="eastAsia" w:ascii="仿宋_GB2312" w:hAnsi="Times New Roman" w:eastAsia="仿宋_GB2312" w:cs="Wingdings"/>
                      <w:sz w:val="28"/>
                      <w:szCs w:val="28"/>
                      <w:lang w:val="en-US" w:eastAsia="zh-CN"/>
                    </w:rPr>
                    <w:t>3</w:t>
                  </w:r>
                  <w:r>
                    <w:rPr>
                      <w:rFonts w:hint="eastAsia" w:ascii="仿宋_GB2312" w:hAnsi="Times New Roman" w:eastAsia="仿宋_GB2312" w:cs="Wingdings"/>
                      <w:sz w:val="28"/>
                      <w:szCs w:val="28"/>
                    </w:rPr>
                    <w:t>：支出决算构成情况（按支</w:t>
                  </w:r>
                  <w:r>
                    <w:rPr>
                      <w:rFonts w:hint="eastAsia" w:ascii="仿宋_GB2312" w:hAnsi="Times New Roman" w:eastAsia="仿宋_GB2312" w:cs="Wingdings"/>
                      <w:sz w:val="28"/>
                      <w:szCs w:val="28"/>
                      <w:lang w:val="en-US" w:eastAsia="zh-CN"/>
                    </w:rPr>
                    <w:t>出</w:t>
                  </w:r>
                  <w:r>
                    <w:rPr>
                      <w:rFonts w:hint="eastAsia" w:ascii="仿宋_GB2312" w:hAnsi="Times New Roman" w:eastAsia="仿宋_GB2312" w:cs="Wingdings"/>
                      <w:sz w:val="28"/>
                      <w:szCs w:val="28"/>
                    </w:rPr>
                    <w:t>性质）</w:t>
                  </w:r>
                </w:p>
                <w:p>
                  <w:pPr>
                    <w:spacing w:after="160" w:line="480" w:lineRule="auto"/>
                    <w:rPr>
                      <w:rFonts w:ascii="Times New Roman" w:hAnsi="Times New Roman" w:eastAsia="宋体" w:cs="Times New Roman"/>
                      <w:sz w:val="20"/>
                    </w:rPr>
                  </w:pPr>
                </w:p>
              </w:txbxContent>
            </v:textbox>
          </v:shape>
        </w:pict>
      </w:r>
    </w:p>
    <w:p>
      <w:pPr>
        <w:spacing w:line="580" w:lineRule="exact"/>
        <w:ind w:firstLine="640" w:firstLineChars="200"/>
        <w:outlineLvl w:val="1"/>
        <w:rPr>
          <w:rFonts w:hint="eastAsia" w:ascii="黑体" w:eastAsia="黑体" w:cs="Times New Roman"/>
          <w:sz w:val="32"/>
          <w:szCs w:val="32"/>
        </w:rPr>
      </w:pPr>
    </w:p>
    <w:p>
      <w:pPr>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四、</w:t>
      </w:r>
      <w:r>
        <w:rPr>
          <w:rFonts w:hint="eastAsia" w:ascii="黑体" w:hAnsi="Cambria" w:eastAsia="黑体" w:cs="黑体"/>
          <w:kern w:val="0"/>
          <w:sz w:val="32"/>
          <w:szCs w:val="32"/>
        </w:rPr>
        <w:t>财政</w:t>
      </w:r>
      <w:r>
        <w:rPr>
          <w:rFonts w:hint="eastAsia" w:ascii="黑体"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（一）财政拨款收支与2020年度决算对比情况</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本部门2021年度财政拨款本年收入</w:t>
      </w:r>
      <w:r>
        <w:rPr>
          <w:rFonts w:hint="eastAsia" w:ascii="仿宋_GB2312" w:hAnsi="Times New Roman" w:eastAsia="仿宋_GB2312" w:cs="DengXian-Regular"/>
          <w:sz w:val="32"/>
          <w:szCs w:val="32"/>
          <w:lang w:val="en-US" w:eastAsia="zh-CN"/>
        </w:rPr>
        <w:t>569.1</w:t>
      </w:r>
      <w:r>
        <w:rPr>
          <w:rFonts w:hint="eastAsia" w:ascii="仿宋_GB2312" w:hAnsi="Times New Roman" w:eastAsia="仿宋_GB2312" w:cs="DengXian-Regular"/>
          <w:sz w:val="32"/>
          <w:szCs w:val="32"/>
        </w:rPr>
        <w:t>万元,比2020年度增加</w:t>
      </w:r>
      <w:r>
        <w:rPr>
          <w:rFonts w:hint="eastAsia" w:ascii="仿宋_GB2312" w:hAnsi="Times New Roman" w:eastAsia="仿宋_GB2312" w:cs="DengXian-Regular"/>
          <w:sz w:val="32"/>
          <w:szCs w:val="32"/>
          <w:lang w:val="en-US" w:eastAsia="zh-CN"/>
        </w:rPr>
        <w:t>129.6</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29.5</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人员增加</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589.4</w:t>
      </w:r>
      <w:r>
        <w:rPr>
          <w:rFonts w:hint="eastAsia" w:ascii="仿宋_GB2312" w:hAnsi="Times New Roman" w:eastAsia="仿宋_GB2312" w:cs="DengXian-Regular"/>
          <w:sz w:val="32"/>
          <w:szCs w:val="32"/>
        </w:rPr>
        <w:t>万元，增加</w:t>
      </w:r>
      <w:r>
        <w:rPr>
          <w:rFonts w:hint="eastAsia" w:ascii="仿宋_GB2312" w:hAnsi="Times New Roman" w:eastAsia="仿宋_GB2312" w:cs="DengXian-Regular"/>
          <w:sz w:val="32"/>
          <w:szCs w:val="32"/>
          <w:lang w:val="en-US" w:eastAsia="zh-CN"/>
        </w:rPr>
        <w:t>43.54</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7.9</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人员增加</w:t>
      </w:r>
      <w:r>
        <w:rPr>
          <w:rFonts w:hint="eastAsia" w:ascii="仿宋_GB2312" w:hAnsi="Times New Roman" w:eastAsia="仿宋_GB2312" w:cs="DengXian-Regular"/>
          <w:sz w:val="32"/>
          <w:szCs w:val="32"/>
        </w:rPr>
        <w:t>。</w:t>
      </w:r>
    </w:p>
    <w:p>
      <w:pPr>
        <w:pStyle w:val="2"/>
        <w:rPr>
          <w:rFonts w:hint="eastAsia" w:ascii="仿宋_GB2312" w:hAnsi="Times New Roman" w:eastAsia="仿宋_GB2312" w:cs="Wingdings"/>
          <w:sz w:val="32"/>
          <w:szCs w:val="32"/>
        </w:rPr>
      </w:pPr>
      <w:r>
        <w:rPr>
          <w:rFonts w:hint="eastAsia" w:ascii="仿宋_GB2312" w:hAnsi="Times New Roman" w:eastAsia="仿宋_GB2312" w:cs="Wingdings"/>
          <w:sz w:val="32"/>
          <w:szCs w:val="32"/>
        </w:rPr>
        <w:t>如图所示：</w:t>
      </w:r>
    </w:p>
    <w:p>
      <w:pPr>
        <w:pStyle w:val="2"/>
        <w:ind w:left="0" w:leftChars="0" w:firstLine="0" w:firstLineChars="0"/>
        <w:rPr>
          <w:rFonts w:hint="eastAsia" w:ascii="仿宋_GB2312" w:hAnsi="Times New Roman" w:eastAsia="仿宋_GB2312" w:cs="Wingdings"/>
          <w:sz w:val="32"/>
          <w:szCs w:val="32"/>
        </w:rPr>
      </w:pPr>
      <w:r>
        <w:drawing>
          <wp:anchor distT="0" distB="0" distL="114300" distR="114300" simplePos="0" relativeHeight="251660288" behindDoc="1" locked="0" layoutInCell="1" allowOverlap="1">
            <wp:simplePos x="0" y="0"/>
            <wp:positionH relativeFrom="column">
              <wp:posOffset>626745</wp:posOffset>
            </wp:positionH>
            <wp:positionV relativeFrom="paragraph">
              <wp:posOffset>43815</wp:posOffset>
            </wp:positionV>
            <wp:extent cx="4572000" cy="2136775"/>
            <wp:effectExtent l="4445" t="4445" r="14605" b="11430"/>
            <wp:wrapTight wrapText="bothSides">
              <wp:wrapPolygon>
                <wp:start x="-21" y="-45"/>
                <wp:lineTo x="-21" y="21523"/>
                <wp:lineTo x="21579" y="21523"/>
                <wp:lineTo x="21579" y="-45"/>
                <wp:lineTo x="-21" y="-45"/>
              </wp:wrapPolygon>
            </wp:wrapTight>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pPr>
        <w:pStyle w:val="2"/>
        <w:rPr>
          <w:rFonts w:hint="eastAsia" w:ascii="仿宋_GB2312" w:hAnsi="Times New Roman" w:eastAsia="仿宋_GB2312" w:cs="Wingdings"/>
          <w:sz w:val="32"/>
          <w:szCs w:val="32"/>
        </w:rPr>
      </w:pPr>
    </w:p>
    <w:p>
      <w:pPr>
        <w:pStyle w:val="2"/>
        <w:rPr>
          <w:rFonts w:hint="eastAsia" w:ascii="仿宋_GB2312" w:hAnsi="Times New Roman" w:eastAsia="仿宋_GB2312" w:cs="Wingdings"/>
          <w:sz w:val="32"/>
          <w:szCs w:val="32"/>
        </w:rPr>
      </w:pPr>
    </w:p>
    <w:p>
      <w:pPr>
        <w:pStyle w:val="2"/>
        <w:rPr>
          <w:rFonts w:hint="eastAsia" w:ascii="仿宋_GB2312" w:hAnsi="Times New Roman" w:eastAsia="仿宋_GB2312" w:cs="Wingdings"/>
          <w:sz w:val="32"/>
          <w:szCs w:val="32"/>
        </w:rPr>
      </w:pPr>
    </w:p>
    <w:p>
      <w:pPr>
        <w:pStyle w:val="2"/>
        <w:ind w:left="0" w:leftChars="0" w:firstLine="0" w:firstLineChars="0"/>
        <w:rPr>
          <w:rFonts w:hint="eastAsia" w:ascii="仿宋_GB2312" w:hAnsi="Times New Roman" w:eastAsia="仿宋_GB2312" w:cs="Wingdings"/>
          <w:sz w:val="32"/>
          <w:szCs w:val="32"/>
        </w:rPr>
      </w:pPr>
    </w:p>
    <w:p>
      <w:pPr>
        <w:numPr>
          <w:ilvl w:val="0"/>
          <w:numId w:val="2"/>
        </w:numPr>
        <w:snapToGrid w:val="0"/>
        <w:spacing w:line="580" w:lineRule="exact"/>
        <w:ind w:firstLine="643" w:firstLineChars="200"/>
        <w:rPr>
          <w:rFonts w:hint="eastAsia"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财政拨款收支与年初预算数对比情况</w:t>
      </w:r>
    </w:p>
    <w:p>
      <w:pPr>
        <w:adjustRightInd w:val="0"/>
        <w:snapToGrid w:val="0"/>
        <w:spacing w:line="600" w:lineRule="exact"/>
        <w:ind w:firstLine="420" w:firstLineChars="200"/>
        <w:rPr>
          <w:rFonts w:hint="eastAsia" w:ascii="仿宋_GB2312" w:hAnsi="Times New Roman" w:eastAsia="仿宋_GB2312" w:cs="Wingdings"/>
          <w:sz w:val="32"/>
          <w:szCs w:val="32"/>
        </w:rPr>
      </w:pPr>
      <w:r>
        <w:rPr>
          <w:rFonts w:hint="eastAsia"/>
          <w:lang w:val="en-US" w:eastAsia="zh-CN"/>
        </w:rPr>
        <w:t xml:space="preserve">  </w:t>
      </w:r>
      <w:r>
        <w:rPr>
          <w:rFonts w:hint="eastAsia" w:ascii="仿宋_GB2312" w:hAnsi="Times New Roman" w:eastAsia="仿宋_GB2312" w:cs="Wingdings"/>
          <w:sz w:val="32"/>
          <w:szCs w:val="32"/>
        </w:rPr>
        <w:t>本部门202</w:t>
      </w:r>
      <w:r>
        <w:rPr>
          <w:rFonts w:hint="eastAsia" w:ascii="仿宋_GB2312" w:hAnsi="Times New Roman" w:eastAsia="仿宋_GB2312" w:cs="Wingdings"/>
          <w:sz w:val="32"/>
          <w:szCs w:val="32"/>
          <w:lang w:val="en-US" w:eastAsia="zh-CN"/>
        </w:rPr>
        <w:t>1</w:t>
      </w:r>
      <w:r>
        <w:rPr>
          <w:rFonts w:hint="eastAsia" w:ascii="仿宋_GB2312" w:hAnsi="Times New Roman" w:eastAsia="仿宋_GB2312" w:cs="Wingdings"/>
          <w:sz w:val="32"/>
          <w:szCs w:val="32"/>
        </w:rPr>
        <w:t>年度一般公共预算财政拨款收入</w:t>
      </w:r>
      <w:r>
        <w:rPr>
          <w:rFonts w:hint="eastAsia" w:ascii="仿宋_GB2312" w:hAnsi="Times New Roman" w:eastAsia="仿宋_GB2312" w:cs="Wingdings"/>
          <w:sz w:val="32"/>
          <w:szCs w:val="32"/>
          <w:lang w:val="en-US" w:eastAsia="zh-CN"/>
        </w:rPr>
        <w:t>569.1</w:t>
      </w:r>
      <w:r>
        <w:rPr>
          <w:rFonts w:hint="eastAsia" w:ascii="仿宋_GB2312" w:hAnsi="Times New Roman" w:eastAsia="仿宋_GB2312" w:cs="Wingdings"/>
          <w:sz w:val="32"/>
          <w:szCs w:val="32"/>
        </w:rPr>
        <w:t>万元，完成年初预算的</w:t>
      </w:r>
      <w:r>
        <w:rPr>
          <w:rFonts w:hint="eastAsia" w:ascii="仿宋_GB2312" w:hAnsi="Times New Roman" w:eastAsia="仿宋_GB2312" w:cs="Wingdings"/>
          <w:sz w:val="32"/>
          <w:szCs w:val="32"/>
          <w:lang w:val="en-US" w:eastAsia="zh-CN"/>
        </w:rPr>
        <w:t>126.7</w:t>
      </w:r>
      <w:r>
        <w:rPr>
          <w:rFonts w:hint="eastAsia" w:ascii="仿宋_GB2312" w:hAnsi="Times New Roman" w:eastAsia="仿宋_GB2312" w:cs="Wingdings"/>
          <w:sz w:val="32"/>
          <w:szCs w:val="32"/>
        </w:rPr>
        <w:t>%,比年初预算增加</w:t>
      </w:r>
      <w:r>
        <w:rPr>
          <w:rFonts w:hint="eastAsia" w:ascii="仿宋_GB2312" w:hAnsi="Times New Roman" w:eastAsia="仿宋_GB2312" w:cs="Wingdings"/>
          <w:sz w:val="32"/>
          <w:szCs w:val="32"/>
          <w:lang w:val="en-US" w:eastAsia="zh-CN"/>
        </w:rPr>
        <w:t>120</w:t>
      </w:r>
      <w:r>
        <w:rPr>
          <w:rFonts w:hint="eastAsia" w:ascii="仿宋_GB2312" w:hAnsi="Times New Roman" w:eastAsia="仿宋_GB2312" w:cs="Wingdings"/>
          <w:sz w:val="32"/>
          <w:szCs w:val="32"/>
        </w:rPr>
        <w:t>万元，决算数大于预算数主要原因是</w:t>
      </w:r>
      <w:r>
        <w:rPr>
          <w:rFonts w:hint="eastAsia" w:ascii="仿宋_GB2312" w:hAnsi="Times New Roman" w:eastAsia="仿宋_GB2312" w:cs="Wingdings"/>
          <w:sz w:val="32"/>
          <w:szCs w:val="32"/>
          <w:lang w:val="en-US" w:eastAsia="zh-CN"/>
        </w:rPr>
        <w:t>冬奥志愿服务</w:t>
      </w:r>
      <w:r>
        <w:rPr>
          <w:rFonts w:hint="eastAsia" w:ascii="仿宋_GB2312" w:hAnsi="Times New Roman" w:eastAsia="仿宋_GB2312" w:cs="DengXian-Regular"/>
          <w:sz w:val="32"/>
          <w:szCs w:val="32"/>
          <w:lang w:eastAsia="zh-CN"/>
        </w:rPr>
        <w:t>工作任务加重，</w:t>
      </w:r>
      <w:r>
        <w:rPr>
          <w:rFonts w:hint="eastAsia" w:ascii="仿宋_GB2312" w:hAnsi="Times New Roman" w:eastAsia="仿宋_GB2312" w:cs="DengXian-Regular"/>
          <w:sz w:val="32"/>
          <w:szCs w:val="32"/>
          <w:lang w:val="en-US" w:eastAsia="zh-CN"/>
        </w:rPr>
        <w:t>人员增加</w:t>
      </w:r>
      <w:r>
        <w:rPr>
          <w:rFonts w:hint="eastAsia" w:ascii="仿宋_GB2312" w:hAnsi="Times New Roman" w:eastAsia="仿宋_GB2312" w:cs="Wingdings"/>
          <w:sz w:val="32"/>
          <w:szCs w:val="32"/>
        </w:rPr>
        <w:t>；本年支出</w:t>
      </w:r>
      <w:r>
        <w:rPr>
          <w:rFonts w:hint="eastAsia" w:ascii="仿宋_GB2312" w:hAnsi="Times New Roman" w:eastAsia="仿宋_GB2312" w:cs="Wingdings"/>
          <w:sz w:val="32"/>
          <w:szCs w:val="32"/>
          <w:lang w:val="en-US" w:eastAsia="zh-CN"/>
        </w:rPr>
        <w:t>589.4</w:t>
      </w:r>
      <w:r>
        <w:rPr>
          <w:rFonts w:hint="eastAsia" w:ascii="仿宋_GB2312" w:hAnsi="Times New Roman" w:eastAsia="仿宋_GB2312" w:cs="Wingdings"/>
          <w:sz w:val="32"/>
          <w:szCs w:val="32"/>
        </w:rPr>
        <w:t>万元，完成年初预算的</w:t>
      </w:r>
      <w:r>
        <w:rPr>
          <w:rFonts w:hint="eastAsia" w:ascii="仿宋_GB2312" w:hAnsi="Times New Roman" w:eastAsia="仿宋_GB2312" w:cs="Wingdings"/>
          <w:sz w:val="32"/>
          <w:szCs w:val="32"/>
          <w:lang w:val="en-US" w:eastAsia="zh-CN"/>
        </w:rPr>
        <w:t>131.2</w:t>
      </w:r>
      <w:r>
        <w:rPr>
          <w:rFonts w:hint="eastAsia" w:ascii="仿宋_GB2312" w:hAnsi="Times New Roman" w:eastAsia="仿宋_GB2312" w:cs="Wingdings"/>
          <w:sz w:val="32"/>
          <w:szCs w:val="32"/>
        </w:rPr>
        <w:t>%,比年初预算增加</w:t>
      </w:r>
      <w:r>
        <w:rPr>
          <w:rFonts w:hint="eastAsia" w:ascii="仿宋_GB2312" w:hAnsi="Times New Roman" w:eastAsia="仿宋_GB2312" w:cs="Wingdings"/>
          <w:sz w:val="32"/>
          <w:szCs w:val="32"/>
          <w:lang w:val="en-US" w:eastAsia="zh-CN"/>
        </w:rPr>
        <w:t>140.3</w:t>
      </w:r>
      <w:r>
        <w:rPr>
          <w:rFonts w:hint="eastAsia" w:ascii="仿宋_GB2312" w:hAnsi="Times New Roman" w:eastAsia="仿宋_GB2312" w:cs="Wingdings"/>
          <w:sz w:val="32"/>
          <w:szCs w:val="32"/>
        </w:rPr>
        <w:t>万元，决算数大于预算数主要原因是</w:t>
      </w:r>
      <w:r>
        <w:rPr>
          <w:rFonts w:hint="eastAsia" w:ascii="仿宋_GB2312" w:hAnsi="Times New Roman" w:eastAsia="仿宋_GB2312" w:cs="Wingdings"/>
          <w:sz w:val="32"/>
          <w:szCs w:val="32"/>
          <w:lang w:val="en-US" w:eastAsia="zh-CN"/>
        </w:rPr>
        <w:t>冬奥志愿服务</w:t>
      </w:r>
      <w:r>
        <w:rPr>
          <w:rFonts w:hint="eastAsia" w:ascii="仿宋_GB2312" w:hAnsi="Times New Roman" w:eastAsia="仿宋_GB2312" w:cs="DengXian-Regular"/>
          <w:sz w:val="32"/>
          <w:szCs w:val="32"/>
          <w:lang w:eastAsia="zh-CN"/>
        </w:rPr>
        <w:t>工作任务加重，</w:t>
      </w:r>
      <w:r>
        <w:rPr>
          <w:rFonts w:hint="eastAsia" w:ascii="仿宋_GB2312" w:hAnsi="Times New Roman" w:eastAsia="仿宋_GB2312" w:cs="DengXian-Regular"/>
          <w:sz w:val="32"/>
          <w:szCs w:val="32"/>
          <w:lang w:val="en-US" w:eastAsia="zh-CN"/>
        </w:rPr>
        <w:t>人员增加</w:t>
      </w:r>
      <w:r>
        <w:rPr>
          <w:rFonts w:hint="eastAsia" w:ascii="仿宋_GB2312" w:hAnsi="Times New Roman" w:eastAsia="仿宋_GB2312" w:cs="Wingdings"/>
          <w:sz w:val="32"/>
          <w:szCs w:val="32"/>
        </w:rPr>
        <w:t>。</w:t>
      </w:r>
    </w:p>
    <w:p>
      <w:pPr>
        <w:pStyle w:val="2"/>
        <w:rPr>
          <w:rFonts w:hint="eastAsia" w:ascii="仿宋_GB2312" w:hAnsi="Times New Roman" w:eastAsia="仿宋_GB2312" w:cs="Wingdings"/>
          <w:sz w:val="32"/>
          <w:szCs w:val="32"/>
        </w:rPr>
      </w:pPr>
      <w:r>
        <w:rPr>
          <w:rFonts w:hint="eastAsia" w:ascii="仿宋_GB2312" w:hAnsi="Times New Roman" w:eastAsia="仿宋_GB2312" w:cs="Wingdings"/>
          <w:sz w:val="32"/>
          <w:szCs w:val="32"/>
        </w:rPr>
        <w:t>如图所示：</w:t>
      </w:r>
    </w:p>
    <w:p>
      <w:pPr>
        <w:pStyle w:val="2"/>
        <w:rPr>
          <w:rFonts w:hint="eastAsia"/>
        </w:rPr>
      </w:pPr>
      <w:r>
        <w:drawing>
          <wp:anchor distT="0" distB="0" distL="114300" distR="114300" simplePos="0" relativeHeight="251661312" behindDoc="1" locked="0" layoutInCell="1" allowOverlap="1">
            <wp:simplePos x="0" y="0"/>
            <wp:positionH relativeFrom="column">
              <wp:posOffset>462280</wp:posOffset>
            </wp:positionH>
            <wp:positionV relativeFrom="paragraph">
              <wp:posOffset>179705</wp:posOffset>
            </wp:positionV>
            <wp:extent cx="4572000" cy="2128520"/>
            <wp:effectExtent l="4445" t="4445" r="14605" b="57785"/>
            <wp:wrapTight wrapText="bothSides">
              <wp:wrapPolygon>
                <wp:start x="-21" y="-45"/>
                <wp:lineTo x="-21" y="21413"/>
                <wp:lineTo x="21579" y="21413"/>
                <wp:lineTo x="21579" y="-45"/>
                <wp:lineTo x="-21" y="-45"/>
              </wp:wrapPolygon>
            </wp:wrapTight>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pPr>
        <w:pStyle w:val="2"/>
        <w:rPr>
          <w:rFonts w:hint="eastAsia" w:ascii="仿宋_GB2312" w:hAnsi="Times New Roman" w:eastAsia="仿宋_GB2312" w:cs="Wingdings"/>
          <w:sz w:val="32"/>
          <w:szCs w:val="32"/>
        </w:rPr>
      </w:pPr>
    </w:p>
    <w:p>
      <w:pPr>
        <w:pStyle w:val="2"/>
        <w:rPr>
          <w:rFonts w:hint="eastAsia" w:ascii="仿宋_GB2312" w:hAnsi="Times New Roman" w:eastAsia="仿宋_GB2312" w:cs="Wingdings"/>
          <w:sz w:val="32"/>
          <w:szCs w:val="32"/>
        </w:rPr>
      </w:pPr>
    </w:p>
    <w:p>
      <w:pPr>
        <w:pStyle w:val="2"/>
        <w:rPr>
          <w:rFonts w:hint="eastAsia" w:ascii="仿宋_GB2312" w:hAnsi="Times New Roman" w:eastAsia="仿宋_GB2312" w:cs="Wingdings"/>
          <w:sz w:val="32"/>
          <w:szCs w:val="32"/>
        </w:rPr>
      </w:pPr>
    </w:p>
    <w:p>
      <w:pPr>
        <w:pStyle w:val="2"/>
        <w:rPr>
          <w:rFonts w:hint="eastAsia" w:ascii="仿宋_GB2312" w:hAnsi="Times New Roman" w:eastAsia="仿宋_GB2312" w:cs="Wingdings"/>
          <w:sz w:val="32"/>
          <w:szCs w:val="32"/>
        </w:rPr>
      </w:pPr>
    </w:p>
    <w:p>
      <w:pPr>
        <w:pStyle w:val="2"/>
        <w:rPr>
          <w:rFonts w:hint="eastAsia" w:ascii="仿宋_GB2312" w:hAnsi="Times New Roman" w:eastAsia="仿宋_GB2312" w:cs="Wingdings"/>
          <w:sz w:val="32"/>
          <w:szCs w:val="32"/>
        </w:rPr>
      </w:pPr>
    </w:p>
    <w:p>
      <w:pPr>
        <w:pStyle w:val="2"/>
        <w:ind w:left="0" w:leftChars="0" w:firstLine="0" w:firstLineChars="0"/>
        <w:rPr>
          <w:rFonts w:hint="eastAsia" w:ascii="仿宋_GB2312" w:hAnsi="Times New Roman" w:eastAsia="仿宋_GB2312" w:cs="Wingdings"/>
          <w:sz w:val="32"/>
          <w:szCs w:val="32"/>
        </w:rPr>
      </w:pPr>
    </w:p>
    <w:p>
      <w:pPr>
        <w:numPr>
          <w:ilvl w:val="0"/>
          <w:numId w:val="3"/>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pageBreakBefore w:val="0"/>
        <w:widowControl w:val="0"/>
        <w:kinsoku/>
        <w:wordWrap/>
        <w:overflowPunct/>
        <w:topLinePunct w:val="0"/>
        <w:autoSpaceDE/>
        <w:autoSpaceDN/>
        <w:bidi w:val="0"/>
        <w:adjustRightInd w:val="0"/>
        <w:snapToGrid w:val="0"/>
        <w:spacing w:line="580" w:lineRule="exact"/>
        <w:ind w:right="0" w:rightChars="0" w:firstLine="960" w:firstLineChars="300"/>
        <w:textAlignment w:val="auto"/>
        <w:rPr>
          <w:rFonts w:hint="eastAsia" w:ascii="仿宋_GB2312" w:hAnsi="Times New Roman" w:eastAsia="仿宋_GB2312" w:cs="DengXian-Regular"/>
          <w:sz w:val="32"/>
          <w:szCs w:val="32"/>
          <w:lang w:val="en-US" w:eastAsia="zh-CN"/>
        </w:rPr>
      </w:pPr>
      <w:r>
        <w:rPr>
          <w:rFonts w:hint="eastAsia" w:ascii="仿宋_GB2312" w:hAnsi="Times New Roman" w:eastAsia="仿宋_GB2312" w:cs="Wingdings"/>
          <w:sz w:val="32"/>
          <w:szCs w:val="32"/>
        </w:rPr>
        <w:t>202</w:t>
      </w:r>
      <w:r>
        <w:rPr>
          <w:rFonts w:hint="eastAsia" w:ascii="仿宋_GB2312" w:hAnsi="Times New Roman" w:eastAsia="仿宋_GB2312" w:cs="Wingdings"/>
          <w:sz w:val="32"/>
          <w:szCs w:val="32"/>
          <w:lang w:val="en-US" w:eastAsia="zh-CN"/>
        </w:rPr>
        <w:t>1</w:t>
      </w:r>
      <w:r>
        <w:rPr>
          <w:rFonts w:hint="eastAsia" w:ascii="仿宋_GB2312" w:hAnsi="Times New Roman" w:eastAsia="仿宋_GB2312" w:cs="Wingdings"/>
          <w:sz w:val="32"/>
          <w:szCs w:val="32"/>
        </w:rPr>
        <w:t>年度财政拨款支出</w:t>
      </w:r>
      <w:r>
        <w:rPr>
          <w:rFonts w:hint="eastAsia" w:ascii="仿宋_GB2312" w:hAnsi="Times New Roman" w:eastAsia="仿宋_GB2312" w:cs="Wingdings"/>
          <w:sz w:val="32"/>
          <w:szCs w:val="32"/>
          <w:lang w:val="en-US" w:eastAsia="zh-CN"/>
        </w:rPr>
        <w:t>589.4</w:t>
      </w:r>
      <w:r>
        <w:rPr>
          <w:rFonts w:hint="eastAsia" w:ascii="仿宋_GB2312" w:hAnsi="Times New Roman" w:eastAsia="仿宋_GB2312" w:cs="Wingdings"/>
          <w:sz w:val="32"/>
          <w:szCs w:val="32"/>
        </w:rPr>
        <w:t>万元，主要用于以下方面：一般公共服务（类）支出</w:t>
      </w:r>
      <w:r>
        <w:rPr>
          <w:rFonts w:hint="eastAsia" w:ascii="仿宋_GB2312" w:hAnsi="Times New Roman" w:eastAsia="仿宋_GB2312" w:cs="Wingdings"/>
          <w:sz w:val="32"/>
          <w:szCs w:val="32"/>
          <w:lang w:val="en-US" w:eastAsia="zh-CN"/>
        </w:rPr>
        <w:t>479.53</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81.4</w:t>
      </w:r>
      <w:r>
        <w:rPr>
          <w:rFonts w:hint="eastAsia" w:ascii="仿宋_GB2312" w:hAnsi="Times New Roman" w:eastAsia="仿宋_GB2312" w:cs="Wingdings"/>
          <w:sz w:val="32"/>
          <w:szCs w:val="32"/>
        </w:rPr>
        <w:t>%</w:t>
      </w:r>
      <w:r>
        <w:rPr>
          <w:rFonts w:hint="eastAsia" w:ascii="仿宋_GB2312" w:hAnsi="Times New Roman" w:eastAsia="仿宋_GB2312" w:cs="Wingdings"/>
          <w:sz w:val="32"/>
          <w:szCs w:val="32"/>
          <w:lang w:eastAsia="zh-CN"/>
        </w:rPr>
        <w:t>，</w:t>
      </w:r>
      <w:r>
        <w:rPr>
          <w:rFonts w:hint="eastAsia" w:ascii="仿宋_GB2312" w:hAnsi="Times New Roman" w:eastAsia="仿宋_GB2312" w:cs="Wingdings"/>
          <w:sz w:val="32"/>
          <w:szCs w:val="32"/>
          <w:lang w:val="en-US" w:eastAsia="zh-CN"/>
        </w:rPr>
        <w:t>主要用于人员支出、机关运行、开展各专项工作等支出</w:t>
      </w:r>
      <w:r>
        <w:rPr>
          <w:rFonts w:hint="eastAsia" w:ascii="仿宋_GB2312" w:hAnsi="Times New Roman" w:eastAsia="仿宋_GB2312" w:cs="Wingdings"/>
          <w:sz w:val="32"/>
          <w:szCs w:val="32"/>
        </w:rPr>
        <w:t>；</w:t>
      </w:r>
      <w:r>
        <w:rPr>
          <w:rFonts w:hint="eastAsia" w:ascii="仿宋_GB2312" w:hAnsi="Times New Roman" w:eastAsia="仿宋_GB2312" w:cs="Wingdings"/>
          <w:sz w:val="32"/>
          <w:szCs w:val="32"/>
          <w:lang w:eastAsia="zh-CN"/>
        </w:rPr>
        <w:t>公共安全（类）支出</w:t>
      </w:r>
      <w:r>
        <w:rPr>
          <w:rFonts w:hint="eastAsia" w:ascii="仿宋_GB2312" w:hAnsi="Times New Roman" w:eastAsia="仿宋_GB2312" w:cs="Wingdings"/>
          <w:sz w:val="32"/>
          <w:szCs w:val="32"/>
          <w:lang w:val="en-US" w:eastAsia="zh-CN"/>
        </w:rPr>
        <w:t>8.15万元，</w:t>
      </w:r>
      <w:r>
        <w:rPr>
          <w:rFonts w:hint="eastAsia" w:ascii="仿宋_GB2312" w:hAnsi="Times New Roman" w:eastAsia="仿宋_GB2312" w:cs="Wingdings"/>
          <w:sz w:val="32"/>
          <w:szCs w:val="32"/>
        </w:rPr>
        <w:t>占</w:t>
      </w:r>
      <w:r>
        <w:rPr>
          <w:rFonts w:hint="eastAsia" w:ascii="仿宋_GB2312" w:hAnsi="Times New Roman" w:eastAsia="仿宋_GB2312" w:cs="Wingdings"/>
          <w:sz w:val="32"/>
          <w:szCs w:val="32"/>
          <w:lang w:val="en-US" w:eastAsia="zh-CN"/>
        </w:rPr>
        <w:t>1.3</w:t>
      </w:r>
      <w:r>
        <w:rPr>
          <w:rFonts w:hint="eastAsia" w:ascii="仿宋_GB2312" w:hAnsi="Times New Roman" w:eastAsia="仿宋_GB2312" w:cs="Wingdings"/>
          <w:sz w:val="32"/>
          <w:szCs w:val="32"/>
        </w:rPr>
        <w:t>%</w:t>
      </w:r>
      <w:r>
        <w:rPr>
          <w:rFonts w:hint="eastAsia" w:ascii="仿宋_GB2312" w:hAnsi="Times New Roman" w:eastAsia="仿宋_GB2312" w:cs="Wingdings"/>
          <w:sz w:val="32"/>
          <w:szCs w:val="32"/>
          <w:lang w:eastAsia="zh-CN"/>
        </w:rPr>
        <w:t>，</w:t>
      </w:r>
      <w:r>
        <w:rPr>
          <w:rFonts w:hint="eastAsia" w:ascii="仿宋_GB2312" w:hAnsi="Times New Roman" w:eastAsia="仿宋_GB2312" w:cs="Wingdings"/>
          <w:sz w:val="32"/>
          <w:szCs w:val="32"/>
          <w:lang w:val="en-US" w:eastAsia="zh-CN"/>
        </w:rPr>
        <w:t>用于购置货物支出</w:t>
      </w:r>
      <w:r>
        <w:rPr>
          <w:rFonts w:hint="eastAsia" w:ascii="仿宋_GB2312" w:hAnsi="Times New Roman" w:eastAsia="仿宋_GB2312" w:cs="Wingdings"/>
          <w:sz w:val="32"/>
          <w:szCs w:val="32"/>
          <w:lang w:eastAsia="zh-CN"/>
        </w:rPr>
        <w:t>；</w:t>
      </w:r>
      <w:r>
        <w:rPr>
          <w:rFonts w:hint="eastAsia" w:ascii="仿宋_GB2312" w:hAnsi="Times New Roman" w:eastAsia="仿宋_GB2312" w:cs="DengXian-Regular"/>
          <w:sz w:val="32"/>
          <w:szCs w:val="32"/>
          <w:lang w:val="en-US" w:eastAsia="zh-CN"/>
        </w:rPr>
        <w:t>社会保障和就业（类）支出45.78万元，占7.8%，用于养老保险费用支出；卫生健康类支出28.08万元，占4.8%，用于医疗保险费用支出；住房保障（类）支出27.86万元，占 4.7%，用于公积金费用支出。</w:t>
      </w:r>
    </w:p>
    <w:p>
      <w:pPr>
        <w:pStyle w:val="2"/>
        <w:rPr>
          <w:rFonts w:hint="eastAsia" w:ascii="仿宋_GB2312" w:hAnsi="Times New Roman" w:eastAsia="仿宋_GB2312" w:cs="Wingdings"/>
          <w:sz w:val="32"/>
          <w:szCs w:val="32"/>
        </w:rPr>
      </w:pPr>
      <w:r>
        <w:rPr>
          <w:rFonts w:hint="eastAsia" w:ascii="仿宋_GB2312" w:hAnsi="Times New Roman" w:eastAsia="仿宋_GB2312" w:cs="Wingdings"/>
          <w:sz w:val="32"/>
          <w:szCs w:val="32"/>
        </w:rPr>
        <w:t>如图所示：</w:t>
      </w:r>
    </w:p>
    <w:p>
      <w:pPr>
        <w:pStyle w:val="2"/>
        <w:rPr>
          <w:rFonts w:hint="eastAsia" w:ascii="仿宋_GB2312" w:hAnsi="Times New Roman" w:eastAsia="仿宋_GB2312" w:cs="Wingdings"/>
          <w:sz w:val="32"/>
          <w:szCs w:val="32"/>
        </w:rPr>
      </w:pPr>
      <w:r>
        <w:drawing>
          <wp:anchor distT="0" distB="0" distL="114300" distR="114300" simplePos="0" relativeHeight="251665408" behindDoc="1" locked="0" layoutInCell="1" allowOverlap="1">
            <wp:simplePos x="0" y="0"/>
            <wp:positionH relativeFrom="column">
              <wp:posOffset>321945</wp:posOffset>
            </wp:positionH>
            <wp:positionV relativeFrom="paragraph">
              <wp:posOffset>123825</wp:posOffset>
            </wp:positionV>
            <wp:extent cx="4572000" cy="2458085"/>
            <wp:effectExtent l="4445" t="4445" r="14605" b="13970"/>
            <wp:wrapTight wrapText="bothSides">
              <wp:wrapPolygon>
                <wp:start x="-21" y="-39"/>
                <wp:lineTo x="-21" y="21555"/>
                <wp:lineTo x="21579" y="21555"/>
                <wp:lineTo x="21579" y="-39"/>
                <wp:lineTo x="-21" y="-39"/>
              </wp:wrapPolygon>
            </wp:wrapTight>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pPr>
        <w:pStyle w:val="2"/>
        <w:rPr>
          <w:rFonts w:hint="eastAsia" w:ascii="仿宋_GB2312" w:hAnsi="Times New Roman" w:eastAsia="仿宋_GB2312" w:cs="Wingdings"/>
          <w:sz w:val="32"/>
          <w:szCs w:val="32"/>
        </w:rPr>
      </w:pPr>
    </w:p>
    <w:p>
      <w:pPr>
        <w:pStyle w:val="2"/>
        <w:rPr>
          <w:rFonts w:hint="eastAsia" w:ascii="仿宋_GB2312" w:hAnsi="Times New Roman" w:eastAsia="仿宋_GB2312" w:cs="DengXian-Regular"/>
          <w:sz w:val="32"/>
          <w:szCs w:val="32"/>
          <w:lang w:val="en-US" w:eastAsia="zh-CN"/>
        </w:rPr>
      </w:pPr>
    </w:p>
    <w:p>
      <w:pPr>
        <w:pStyle w:val="2"/>
        <w:rPr>
          <w:rFonts w:hint="eastAsia" w:ascii="仿宋_GB2312" w:hAnsi="Times New Roman" w:eastAsia="仿宋_GB2312" w:cs="DengXian-Regular"/>
          <w:sz w:val="32"/>
          <w:szCs w:val="32"/>
          <w:lang w:val="en-US" w:eastAsia="zh-CN"/>
        </w:rPr>
      </w:pPr>
    </w:p>
    <w:p>
      <w:pPr>
        <w:pStyle w:val="2"/>
        <w:rPr>
          <w:rFonts w:hint="eastAsia" w:ascii="仿宋_GB2312" w:hAnsi="Times New Roman" w:eastAsia="仿宋_GB2312" w:cs="DengXian-Regular"/>
          <w:sz w:val="32"/>
          <w:szCs w:val="32"/>
          <w:lang w:val="en-US" w:eastAsia="zh-CN"/>
        </w:rPr>
      </w:pPr>
    </w:p>
    <w:p>
      <w:pPr>
        <w:pStyle w:val="2"/>
        <w:rPr>
          <w:rFonts w:hint="eastAsia" w:ascii="仿宋_GB2312" w:hAnsi="Times New Roman" w:eastAsia="仿宋_GB2312" w:cs="DengXian-Regular"/>
          <w:sz w:val="32"/>
          <w:szCs w:val="32"/>
          <w:lang w:val="en-US" w:eastAsia="zh-CN"/>
        </w:rPr>
      </w:pPr>
    </w:p>
    <w:p>
      <w:pPr>
        <w:pStyle w:val="2"/>
        <w:ind w:left="0" w:leftChars="0" w:firstLine="0" w:firstLineChars="0"/>
        <w:rPr>
          <w:rFonts w:hint="eastAsia" w:ascii="仿宋_GB2312" w:hAnsi="Times New Roman" w:eastAsia="仿宋_GB2312" w:cs="DengXian-Regular"/>
          <w:sz w:val="32"/>
          <w:szCs w:val="32"/>
          <w:lang w:val="en-US" w:eastAsia="zh-CN"/>
        </w:rPr>
      </w:pPr>
    </w:p>
    <w:p>
      <w:pPr>
        <w:adjustRightInd w:val="0"/>
        <w:snapToGrid w:val="0"/>
        <w:spacing w:line="580" w:lineRule="exact"/>
        <w:ind w:left="420" w:leftChars="200"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2021年度财政拨款基本支出</w:t>
      </w:r>
      <w:r>
        <w:rPr>
          <w:rFonts w:hint="eastAsia" w:ascii="仿宋_GB2312" w:hAnsi="Times New Roman" w:eastAsia="仿宋_GB2312" w:cs="DengXian-Regular"/>
          <w:sz w:val="32"/>
          <w:szCs w:val="32"/>
          <w:lang w:val="en-US" w:eastAsia="zh-CN"/>
        </w:rPr>
        <w:t>478.21</w:t>
      </w:r>
      <w:r>
        <w:rPr>
          <w:rFonts w:hint="eastAsia" w:ascii="仿宋_GB2312" w:hAnsi="Times New Roman" w:eastAsia="仿宋_GB2312" w:cs="DengXian-Regular"/>
          <w:sz w:val="32"/>
          <w:szCs w:val="32"/>
        </w:rPr>
        <w:t>万元，其中：</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人员经费</w:t>
      </w:r>
      <w:r>
        <w:rPr>
          <w:rFonts w:hint="eastAsia" w:ascii="仿宋_GB2312" w:hAnsi="Times New Roman" w:eastAsia="仿宋_GB2312" w:cs="DengXian-Regular"/>
          <w:sz w:val="32"/>
          <w:szCs w:val="32"/>
          <w:lang w:val="en-US" w:eastAsia="zh-CN"/>
        </w:rPr>
        <w:t>421.16</w:t>
      </w:r>
      <w:r>
        <w:rPr>
          <w:rFonts w:hint="eastAsia" w:ascii="仿宋_GB2312" w:hAnsi="Times New Roman" w:eastAsia="仿宋_GB2312" w:cs="DengXian-Regular"/>
          <w:sz w:val="32"/>
          <w:szCs w:val="32"/>
        </w:rPr>
        <w:t>万元，主要包括基本工资</w:t>
      </w:r>
      <w:r>
        <w:rPr>
          <w:rFonts w:hint="eastAsia" w:ascii="仿宋_GB2312" w:hAnsi="Times New Roman" w:eastAsia="仿宋_GB2312" w:cs="DengXian-Regular"/>
          <w:sz w:val="32"/>
          <w:szCs w:val="32"/>
          <w:lang w:val="en-US" w:eastAsia="zh-CN"/>
        </w:rPr>
        <w:t>118.33万元</w:t>
      </w:r>
      <w:r>
        <w:rPr>
          <w:rFonts w:hint="eastAsia" w:ascii="仿宋_GB2312" w:hAnsi="Times New Roman" w:eastAsia="仿宋_GB2312" w:cs="DengXian-Regular"/>
          <w:sz w:val="32"/>
          <w:szCs w:val="32"/>
        </w:rPr>
        <w:t>、津贴补贴</w:t>
      </w:r>
      <w:r>
        <w:rPr>
          <w:rFonts w:hint="eastAsia" w:ascii="仿宋_GB2312" w:hAnsi="Times New Roman" w:eastAsia="仿宋_GB2312" w:cs="DengXian-Regular"/>
          <w:sz w:val="32"/>
          <w:szCs w:val="32"/>
          <w:lang w:val="en-US" w:eastAsia="zh-CN"/>
        </w:rPr>
        <w:t>67.68万元</w:t>
      </w:r>
      <w:r>
        <w:rPr>
          <w:rFonts w:hint="eastAsia" w:ascii="仿宋_GB2312" w:hAnsi="Times New Roman" w:eastAsia="仿宋_GB2312" w:cs="DengXian-Regular"/>
          <w:sz w:val="32"/>
          <w:szCs w:val="32"/>
        </w:rPr>
        <w:t>、奖金</w:t>
      </w:r>
      <w:r>
        <w:rPr>
          <w:rFonts w:hint="eastAsia" w:ascii="仿宋_GB2312" w:hAnsi="Times New Roman" w:eastAsia="仿宋_GB2312" w:cs="DengXian-Regular"/>
          <w:sz w:val="32"/>
          <w:szCs w:val="32"/>
          <w:lang w:val="en-US" w:eastAsia="zh-CN"/>
        </w:rPr>
        <w:t>18.48万元</w:t>
      </w:r>
      <w:r>
        <w:rPr>
          <w:rFonts w:hint="eastAsia" w:ascii="仿宋_GB2312" w:hAnsi="Times New Roman" w:eastAsia="仿宋_GB2312" w:cs="DengXian-Regular"/>
          <w:sz w:val="32"/>
          <w:szCs w:val="32"/>
        </w:rPr>
        <w:t>、绩效工资</w:t>
      </w:r>
      <w:r>
        <w:rPr>
          <w:rFonts w:hint="eastAsia" w:ascii="仿宋_GB2312" w:hAnsi="Times New Roman" w:eastAsia="仿宋_GB2312" w:cs="DengXian-Regular"/>
          <w:sz w:val="32"/>
          <w:szCs w:val="32"/>
          <w:lang w:val="en-US" w:eastAsia="zh-CN"/>
        </w:rPr>
        <w:t>26.58万元</w:t>
      </w:r>
      <w:r>
        <w:rPr>
          <w:rFonts w:hint="eastAsia" w:ascii="仿宋_GB2312" w:hAnsi="Times New Roman" w:eastAsia="仿宋_GB2312" w:cs="DengXian-Regular"/>
          <w:sz w:val="32"/>
          <w:szCs w:val="32"/>
        </w:rPr>
        <w:t>、机关事业单位基本养老保险缴费</w:t>
      </w:r>
      <w:r>
        <w:rPr>
          <w:rFonts w:hint="eastAsia" w:ascii="仿宋_GB2312" w:hAnsi="Times New Roman" w:eastAsia="仿宋_GB2312" w:cs="DengXian-Regular"/>
          <w:sz w:val="32"/>
          <w:szCs w:val="32"/>
          <w:lang w:val="en-US" w:eastAsia="zh-CN"/>
        </w:rPr>
        <w:t>42.41万元</w:t>
      </w:r>
      <w:r>
        <w:rPr>
          <w:rFonts w:hint="eastAsia" w:ascii="仿宋_GB2312" w:hAnsi="Times New Roman" w:eastAsia="仿宋_GB2312" w:cs="DengXian-Regular"/>
          <w:sz w:val="32"/>
          <w:szCs w:val="32"/>
        </w:rPr>
        <w:t>、职工基本医疗保险缴费</w:t>
      </w:r>
      <w:r>
        <w:rPr>
          <w:rFonts w:hint="eastAsia" w:ascii="仿宋_GB2312" w:hAnsi="Times New Roman" w:eastAsia="仿宋_GB2312" w:cs="DengXian-Regular"/>
          <w:sz w:val="32"/>
          <w:szCs w:val="32"/>
          <w:lang w:val="en-US" w:eastAsia="zh-CN"/>
        </w:rPr>
        <w:t>16.17万元</w:t>
      </w:r>
      <w:r>
        <w:rPr>
          <w:rFonts w:hint="eastAsia" w:ascii="仿宋_GB2312" w:hAnsi="Times New Roman" w:eastAsia="仿宋_GB2312" w:cs="DengXian-Regular"/>
          <w:sz w:val="32"/>
          <w:szCs w:val="32"/>
        </w:rPr>
        <w:t>、公务员医疗补助缴费</w:t>
      </w:r>
      <w:r>
        <w:rPr>
          <w:rFonts w:hint="eastAsia" w:ascii="仿宋_GB2312" w:hAnsi="Times New Roman" w:eastAsia="仿宋_GB2312" w:cs="DengXian-Regular"/>
          <w:sz w:val="32"/>
          <w:szCs w:val="32"/>
          <w:lang w:val="en-US" w:eastAsia="zh-CN"/>
        </w:rPr>
        <w:t>7.15万元</w:t>
      </w:r>
      <w:r>
        <w:rPr>
          <w:rFonts w:hint="eastAsia" w:ascii="仿宋_GB2312" w:hAnsi="Times New Roman" w:eastAsia="仿宋_GB2312" w:cs="DengXian-Regular"/>
          <w:sz w:val="32"/>
          <w:szCs w:val="32"/>
        </w:rPr>
        <w:t>、住房公积金</w:t>
      </w:r>
      <w:r>
        <w:rPr>
          <w:rFonts w:hint="eastAsia" w:ascii="仿宋_GB2312" w:hAnsi="Times New Roman" w:eastAsia="仿宋_GB2312" w:cs="DengXian-Regular"/>
          <w:sz w:val="32"/>
          <w:szCs w:val="32"/>
          <w:lang w:val="en-US" w:eastAsia="zh-CN"/>
        </w:rPr>
        <w:t>27.86万元</w:t>
      </w:r>
      <w:r>
        <w:rPr>
          <w:rFonts w:hint="eastAsia" w:ascii="仿宋_GB2312" w:hAnsi="Times New Roman" w:eastAsia="仿宋_GB2312" w:cs="DengXian-Regular"/>
          <w:sz w:val="32"/>
          <w:szCs w:val="32"/>
        </w:rPr>
        <w:t>、其他社会保障缴费</w:t>
      </w:r>
      <w:r>
        <w:rPr>
          <w:rFonts w:hint="eastAsia" w:ascii="仿宋_GB2312" w:hAnsi="Times New Roman" w:eastAsia="仿宋_GB2312" w:cs="DengXian-Regular"/>
          <w:sz w:val="32"/>
          <w:szCs w:val="32"/>
          <w:lang w:val="en-US" w:eastAsia="zh-CN"/>
        </w:rPr>
        <w:t>5.79万元</w:t>
      </w:r>
      <w:r>
        <w:rPr>
          <w:rFonts w:hint="eastAsia" w:ascii="仿宋_GB2312" w:hAnsi="Times New Roman" w:eastAsia="仿宋_GB2312" w:cs="DengXian-Regular"/>
          <w:sz w:val="32"/>
          <w:szCs w:val="32"/>
        </w:rPr>
        <w:t>、其他工资福利支出</w:t>
      </w:r>
      <w:r>
        <w:rPr>
          <w:rFonts w:hint="eastAsia" w:ascii="仿宋_GB2312" w:hAnsi="Times New Roman" w:eastAsia="仿宋_GB2312" w:cs="DengXian-Regular"/>
          <w:sz w:val="32"/>
          <w:szCs w:val="32"/>
          <w:lang w:val="en-US" w:eastAsia="zh-CN"/>
        </w:rPr>
        <w:t>81.66万元</w:t>
      </w:r>
      <w:r>
        <w:rPr>
          <w:rFonts w:hint="eastAsia" w:ascii="仿宋_GB2312" w:hAnsi="Times New Roman" w:eastAsia="仿宋_GB2312" w:cs="DengXian-Regular"/>
          <w:sz w:val="32"/>
          <w:szCs w:val="32"/>
        </w:rPr>
        <w:t>、退休费</w:t>
      </w:r>
      <w:r>
        <w:rPr>
          <w:rFonts w:hint="eastAsia" w:ascii="仿宋_GB2312" w:hAnsi="Times New Roman" w:eastAsia="仿宋_GB2312" w:cs="DengXian-Regular"/>
          <w:sz w:val="32"/>
          <w:szCs w:val="32"/>
          <w:lang w:val="en-US" w:eastAsia="zh-CN"/>
        </w:rPr>
        <w:t>2.85万元</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退职费</w:t>
      </w:r>
      <w:r>
        <w:rPr>
          <w:rFonts w:hint="eastAsia" w:ascii="仿宋_GB2312" w:hAnsi="Times New Roman" w:eastAsia="仿宋_GB2312" w:cs="DengXian-Regular"/>
          <w:sz w:val="32"/>
          <w:szCs w:val="32"/>
          <w:lang w:val="en-US" w:eastAsia="zh-CN"/>
        </w:rPr>
        <w:t>0.48万元、</w:t>
      </w:r>
      <w:r>
        <w:rPr>
          <w:rFonts w:hint="eastAsia" w:ascii="仿宋_GB2312" w:hAnsi="Times New Roman" w:eastAsia="仿宋_GB2312" w:cs="DengXian-Regular"/>
          <w:sz w:val="32"/>
          <w:szCs w:val="32"/>
        </w:rPr>
        <w:t>抚恤金</w:t>
      </w:r>
      <w:r>
        <w:rPr>
          <w:rFonts w:hint="eastAsia" w:ascii="仿宋_GB2312" w:hAnsi="Times New Roman" w:eastAsia="仿宋_GB2312" w:cs="DengXian-Regular"/>
          <w:sz w:val="32"/>
          <w:szCs w:val="32"/>
          <w:lang w:val="en-US" w:eastAsia="zh-CN"/>
        </w:rPr>
        <w:t>5.72万元。</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 xml:space="preserve">公用经费 </w:t>
      </w:r>
      <w:r>
        <w:rPr>
          <w:rFonts w:hint="eastAsia" w:ascii="仿宋_GB2312" w:hAnsi="Times New Roman" w:eastAsia="仿宋_GB2312" w:cs="DengXian-Regular"/>
          <w:sz w:val="32"/>
          <w:szCs w:val="32"/>
          <w:lang w:val="en-US" w:eastAsia="zh-CN"/>
        </w:rPr>
        <w:t>57.05</w:t>
      </w:r>
      <w:r>
        <w:rPr>
          <w:rFonts w:hint="eastAsia" w:ascii="仿宋_GB2312" w:hAnsi="Times New Roman" w:eastAsia="仿宋_GB2312" w:cs="DengXian-Regular"/>
          <w:sz w:val="32"/>
          <w:szCs w:val="32"/>
        </w:rPr>
        <w:t>万元，主要包括办公费</w:t>
      </w:r>
      <w:r>
        <w:rPr>
          <w:rFonts w:hint="eastAsia" w:ascii="仿宋_GB2312" w:hAnsi="Times New Roman" w:eastAsia="仿宋_GB2312" w:cs="DengXian-Regular"/>
          <w:sz w:val="32"/>
          <w:szCs w:val="32"/>
          <w:lang w:val="en-US" w:eastAsia="zh-CN"/>
        </w:rPr>
        <w:t>5.85万元</w:t>
      </w:r>
      <w:r>
        <w:rPr>
          <w:rFonts w:hint="eastAsia" w:ascii="仿宋_GB2312" w:hAnsi="Times New Roman" w:eastAsia="仿宋_GB2312" w:cs="DengXian-Regular"/>
          <w:sz w:val="32"/>
          <w:szCs w:val="32"/>
        </w:rPr>
        <w:t>、印刷费</w:t>
      </w:r>
      <w:r>
        <w:rPr>
          <w:rFonts w:hint="eastAsia" w:ascii="仿宋_GB2312" w:hAnsi="Times New Roman" w:eastAsia="仿宋_GB2312" w:cs="DengXian-Regular"/>
          <w:sz w:val="32"/>
          <w:szCs w:val="32"/>
          <w:lang w:val="en-US" w:eastAsia="zh-CN"/>
        </w:rPr>
        <w:t>0.14万元</w:t>
      </w:r>
      <w:r>
        <w:rPr>
          <w:rFonts w:hint="eastAsia" w:ascii="仿宋_GB2312" w:hAnsi="Times New Roman" w:eastAsia="仿宋_GB2312" w:cs="DengXian-Regular"/>
          <w:sz w:val="32"/>
          <w:szCs w:val="32"/>
        </w:rPr>
        <w:t>、邮电费</w:t>
      </w:r>
      <w:r>
        <w:rPr>
          <w:rFonts w:hint="eastAsia" w:ascii="仿宋_GB2312" w:hAnsi="Times New Roman" w:eastAsia="仿宋_GB2312" w:cs="DengXian-Regular"/>
          <w:sz w:val="32"/>
          <w:szCs w:val="32"/>
          <w:lang w:val="en-US" w:eastAsia="zh-CN"/>
        </w:rPr>
        <w:t>10.42万元</w:t>
      </w:r>
      <w:r>
        <w:rPr>
          <w:rFonts w:hint="eastAsia" w:ascii="仿宋_GB2312" w:hAnsi="Times New Roman" w:eastAsia="仿宋_GB2312" w:cs="DengXian-Regular"/>
          <w:sz w:val="32"/>
          <w:szCs w:val="32"/>
        </w:rPr>
        <w:t>、物业管理费</w:t>
      </w:r>
      <w:r>
        <w:rPr>
          <w:rFonts w:hint="eastAsia" w:ascii="仿宋_GB2312" w:hAnsi="Times New Roman" w:eastAsia="仿宋_GB2312" w:cs="DengXian-Regular"/>
          <w:sz w:val="32"/>
          <w:szCs w:val="32"/>
          <w:lang w:val="en-US" w:eastAsia="zh-CN"/>
        </w:rPr>
        <w:t>5.43万元</w:t>
      </w:r>
      <w:r>
        <w:rPr>
          <w:rFonts w:hint="eastAsia" w:ascii="仿宋_GB2312" w:hAnsi="Times New Roman" w:eastAsia="仿宋_GB2312" w:cs="DengXian-Regular"/>
          <w:sz w:val="32"/>
          <w:szCs w:val="32"/>
        </w:rPr>
        <w:t>、差旅费</w:t>
      </w:r>
      <w:r>
        <w:rPr>
          <w:rFonts w:hint="eastAsia" w:ascii="仿宋_GB2312" w:hAnsi="Times New Roman" w:eastAsia="仿宋_GB2312" w:cs="DengXian-Regular"/>
          <w:sz w:val="32"/>
          <w:szCs w:val="32"/>
          <w:lang w:val="en-US" w:eastAsia="zh-CN"/>
        </w:rPr>
        <w:t>9.2万元</w:t>
      </w:r>
      <w:r>
        <w:rPr>
          <w:rFonts w:hint="eastAsia" w:ascii="仿宋_GB2312" w:hAnsi="Times New Roman" w:eastAsia="仿宋_GB2312" w:cs="DengXian-Regular"/>
          <w:sz w:val="32"/>
          <w:szCs w:val="32"/>
        </w:rPr>
        <w:t>、维修（护）费</w:t>
      </w:r>
      <w:r>
        <w:rPr>
          <w:rFonts w:hint="eastAsia" w:ascii="仿宋_GB2312" w:hAnsi="Times New Roman" w:eastAsia="仿宋_GB2312" w:cs="DengXian-Regular"/>
          <w:sz w:val="32"/>
          <w:szCs w:val="32"/>
          <w:lang w:val="en-US" w:eastAsia="zh-CN"/>
        </w:rPr>
        <w:t>0.08万元</w:t>
      </w:r>
      <w:r>
        <w:rPr>
          <w:rFonts w:hint="eastAsia" w:ascii="仿宋_GB2312" w:hAnsi="Times New Roman" w:eastAsia="仿宋_GB2312" w:cs="DengXian-Regular"/>
          <w:sz w:val="32"/>
          <w:szCs w:val="32"/>
        </w:rPr>
        <w:t>、培训费</w:t>
      </w:r>
      <w:r>
        <w:rPr>
          <w:rFonts w:hint="eastAsia" w:ascii="仿宋_GB2312" w:hAnsi="Times New Roman" w:eastAsia="仿宋_GB2312" w:cs="DengXian-Regular"/>
          <w:sz w:val="32"/>
          <w:szCs w:val="32"/>
          <w:lang w:val="en-US" w:eastAsia="zh-CN"/>
        </w:rPr>
        <w:t>0.2万元</w:t>
      </w:r>
      <w:r>
        <w:rPr>
          <w:rFonts w:hint="eastAsia" w:ascii="仿宋_GB2312" w:hAnsi="Times New Roman" w:eastAsia="仿宋_GB2312" w:cs="DengXian-Regular"/>
          <w:sz w:val="32"/>
          <w:szCs w:val="32"/>
        </w:rPr>
        <w:t>、公务接待费</w:t>
      </w:r>
      <w:r>
        <w:rPr>
          <w:rFonts w:hint="eastAsia" w:ascii="仿宋_GB2312" w:hAnsi="Times New Roman" w:eastAsia="仿宋_GB2312" w:cs="DengXian-Regular"/>
          <w:sz w:val="32"/>
          <w:szCs w:val="32"/>
          <w:lang w:val="en-US" w:eastAsia="zh-CN"/>
        </w:rPr>
        <w:t>0.27万元</w:t>
      </w:r>
      <w:r>
        <w:rPr>
          <w:rFonts w:hint="eastAsia" w:ascii="仿宋_GB2312" w:hAnsi="Times New Roman" w:eastAsia="仿宋_GB2312" w:cs="DengXian-Regular"/>
          <w:sz w:val="32"/>
          <w:szCs w:val="32"/>
        </w:rPr>
        <w:t>、劳务费</w:t>
      </w:r>
      <w:r>
        <w:rPr>
          <w:rFonts w:hint="eastAsia" w:ascii="仿宋_GB2312" w:hAnsi="Times New Roman" w:eastAsia="仿宋_GB2312" w:cs="DengXian-Regular"/>
          <w:sz w:val="32"/>
          <w:szCs w:val="32"/>
          <w:lang w:val="en-US" w:eastAsia="zh-CN"/>
        </w:rPr>
        <w:t>1.42万元</w:t>
      </w:r>
      <w:r>
        <w:rPr>
          <w:rFonts w:hint="eastAsia" w:ascii="仿宋_GB2312" w:hAnsi="Times New Roman" w:eastAsia="仿宋_GB2312" w:cs="DengXian-Regular"/>
          <w:sz w:val="32"/>
          <w:szCs w:val="32"/>
        </w:rPr>
        <w:t>、工会经费</w:t>
      </w:r>
      <w:r>
        <w:rPr>
          <w:rFonts w:hint="eastAsia" w:ascii="仿宋_GB2312" w:hAnsi="Times New Roman" w:eastAsia="仿宋_GB2312" w:cs="DengXian-Regular"/>
          <w:sz w:val="32"/>
          <w:szCs w:val="32"/>
          <w:lang w:val="en-US" w:eastAsia="zh-CN"/>
        </w:rPr>
        <w:t>3.83万元</w:t>
      </w:r>
      <w:r>
        <w:rPr>
          <w:rFonts w:hint="eastAsia" w:ascii="仿宋_GB2312" w:hAnsi="Times New Roman" w:eastAsia="仿宋_GB2312" w:cs="DengXian-Regular"/>
          <w:sz w:val="32"/>
          <w:szCs w:val="32"/>
        </w:rPr>
        <w:t>、福利费</w:t>
      </w:r>
      <w:r>
        <w:rPr>
          <w:rFonts w:hint="eastAsia" w:ascii="仿宋_GB2312" w:hAnsi="Times New Roman" w:eastAsia="仿宋_GB2312" w:cs="DengXian-Regular"/>
          <w:sz w:val="32"/>
          <w:szCs w:val="32"/>
          <w:lang w:val="en-US" w:eastAsia="zh-CN"/>
        </w:rPr>
        <w:t>2.47万元</w:t>
      </w:r>
      <w:r>
        <w:rPr>
          <w:rFonts w:hint="eastAsia" w:ascii="仿宋_GB2312" w:hAnsi="Times New Roman" w:eastAsia="仿宋_GB2312" w:cs="DengXian-Regular"/>
          <w:sz w:val="32"/>
          <w:szCs w:val="32"/>
        </w:rPr>
        <w:t>、公务用车运行维护费</w:t>
      </w:r>
      <w:r>
        <w:rPr>
          <w:rFonts w:hint="eastAsia" w:ascii="仿宋_GB2312" w:hAnsi="Times New Roman" w:eastAsia="仿宋_GB2312" w:cs="DengXian-Regular"/>
          <w:sz w:val="32"/>
          <w:szCs w:val="32"/>
          <w:lang w:val="en-US" w:eastAsia="zh-CN"/>
        </w:rPr>
        <w:t>2.98万元</w:t>
      </w:r>
      <w:r>
        <w:rPr>
          <w:rFonts w:hint="eastAsia" w:ascii="仿宋_GB2312" w:hAnsi="Times New Roman" w:eastAsia="仿宋_GB2312" w:cs="DengXian-Regular"/>
          <w:sz w:val="32"/>
          <w:szCs w:val="32"/>
        </w:rPr>
        <w:t>、其他交通费用</w:t>
      </w:r>
      <w:r>
        <w:rPr>
          <w:rFonts w:hint="eastAsia" w:ascii="仿宋_GB2312" w:hAnsi="Times New Roman" w:eastAsia="仿宋_GB2312" w:cs="DengXian-Regular"/>
          <w:sz w:val="32"/>
          <w:szCs w:val="32"/>
          <w:lang w:val="en-US" w:eastAsia="zh-CN"/>
        </w:rPr>
        <w:t>13.58万元、</w:t>
      </w:r>
      <w:r>
        <w:rPr>
          <w:rFonts w:hint="eastAsia" w:ascii="仿宋_GB2312" w:hAnsi="Times New Roman" w:eastAsia="仿宋_GB2312" w:cs="DengXian-Regular"/>
          <w:sz w:val="32"/>
          <w:szCs w:val="32"/>
        </w:rPr>
        <w:t xml:space="preserve"> 其他商品和服务支出</w:t>
      </w:r>
      <w:r>
        <w:rPr>
          <w:rFonts w:hint="eastAsia" w:ascii="仿宋_GB2312" w:hAnsi="Times New Roman" w:eastAsia="仿宋_GB2312" w:cs="DengXian-Regular"/>
          <w:sz w:val="32"/>
          <w:szCs w:val="32"/>
          <w:lang w:val="en-US" w:eastAsia="zh-CN"/>
        </w:rPr>
        <w:t>1.18万元</w:t>
      </w:r>
      <w:r>
        <w:rPr>
          <w:rFonts w:hint="eastAsia" w:ascii="仿宋_GB2312" w:hAnsi="Times New Roman" w:eastAsia="仿宋_GB2312" w:cs="DengXian-Regular"/>
          <w:sz w:val="32"/>
          <w:szCs w:val="32"/>
        </w:rPr>
        <w:t>。</w:t>
      </w:r>
    </w:p>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五、一般公共预算“三公” 经费支出决算情况说明</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（一）“三公”经费财政拨款支出决算总体情况说明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本部门2021年度“三公”经费财政拨款支出预算为</w:t>
      </w:r>
      <w:r>
        <w:rPr>
          <w:rFonts w:hint="eastAsia" w:ascii="仿宋_GB2312" w:hAnsi="Times New Roman" w:eastAsia="仿宋_GB2312" w:cs="DengXian-Regular"/>
          <w:sz w:val="32"/>
          <w:szCs w:val="32"/>
          <w:lang w:val="en-US" w:eastAsia="zh-CN"/>
        </w:rPr>
        <w:t>3.66</w:t>
      </w:r>
      <w:r>
        <w:rPr>
          <w:rFonts w:hint="eastAsia" w:ascii="仿宋_GB2312" w:hAnsi="Times New Roman" w:eastAsia="仿宋_GB2312" w:cs="DengXian-Regular"/>
          <w:sz w:val="32"/>
          <w:szCs w:val="32"/>
        </w:rPr>
        <w:t>万元，支出决算为</w:t>
      </w:r>
      <w:r>
        <w:rPr>
          <w:rFonts w:hint="eastAsia" w:ascii="仿宋_GB2312" w:hAnsi="Times New Roman" w:eastAsia="仿宋_GB2312" w:cs="DengXian-Regular"/>
          <w:sz w:val="32"/>
          <w:szCs w:val="32"/>
          <w:lang w:val="en-US" w:eastAsia="zh-CN"/>
        </w:rPr>
        <w:t>3.25</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88.8</w:t>
      </w:r>
      <w:r>
        <w:rPr>
          <w:rFonts w:hint="eastAsia" w:ascii="仿宋_GB2312" w:hAnsi="Times New Roman" w:eastAsia="仿宋_GB2312" w:cs="DengXian-Regular"/>
          <w:sz w:val="32"/>
          <w:szCs w:val="32"/>
        </w:rPr>
        <w:t>%,较预算减少</w:t>
      </w:r>
      <w:r>
        <w:rPr>
          <w:rFonts w:hint="eastAsia" w:ascii="仿宋_GB2312" w:hAnsi="Times New Roman" w:eastAsia="仿宋_GB2312" w:cs="DengXian-Regular"/>
          <w:sz w:val="32"/>
          <w:szCs w:val="32"/>
          <w:lang w:val="en-US" w:eastAsia="zh-CN"/>
        </w:rPr>
        <w:t>0.14</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11.2</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疫情影响，外出调研减少</w:t>
      </w:r>
      <w:r>
        <w:rPr>
          <w:rFonts w:hint="eastAsia" w:ascii="仿宋_GB2312" w:hAnsi="Times New Roman" w:eastAsia="仿宋_GB2312" w:cs="DengXian-Regular"/>
          <w:sz w:val="32"/>
          <w:szCs w:val="32"/>
        </w:rPr>
        <w:t>；较2020年度决算增加</w:t>
      </w:r>
      <w:r>
        <w:rPr>
          <w:rFonts w:hint="eastAsia" w:ascii="仿宋_GB2312" w:hAnsi="Times New Roman" w:eastAsia="仿宋_GB2312" w:cs="DengXian-Regular"/>
          <w:sz w:val="32"/>
          <w:szCs w:val="32"/>
          <w:lang w:val="en-US" w:eastAsia="zh-CN"/>
        </w:rPr>
        <w:t>3.32</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976.5</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2020年无公务用车</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（二）“三公”经费财政拨款支出决算具体情况说明</w:t>
      </w:r>
    </w:p>
    <w:p>
      <w:pPr>
        <w:adjustRightInd w:val="0"/>
        <w:snapToGrid w:val="0"/>
        <w:spacing w:line="580" w:lineRule="exact"/>
        <w:ind w:firstLine="643" w:firstLineChars="200"/>
        <w:rPr>
          <w:rFonts w:hint="eastAsia" w:ascii="仿宋_GB2312" w:hAnsi="Times New Roman" w:eastAsia="仿宋_GB2312" w:cs="DengXian-Regular"/>
          <w:sz w:val="32"/>
          <w:szCs w:val="32"/>
        </w:rPr>
      </w:pPr>
      <w:r>
        <w:rPr>
          <w:rFonts w:hint="eastAsia" w:ascii="楷体_GB2312" w:hAnsi="Times New Roman" w:eastAsia="楷体_GB2312" w:cs="DengXian-Bold"/>
          <w:b/>
          <w:bCs/>
          <w:sz w:val="32"/>
          <w:szCs w:val="32"/>
        </w:rPr>
        <w:t>1.因公出国（境）费支出情况。</w:t>
      </w:r>
      <w:r>
        <w:rPr>
          <w:rFonts w:hint="eastAsia" w:ascii="仿宋_GB2312" w:hAnsi="Times New Roman" w:eastAsia="仿宋_GB2312" w:cs="DengXian-Regular"/>
          <w:sz w:val="32"/>
          <w:szCs w:val="32"/>
        </w:rPr>
        <w:t>本部门 2021 年度因公出国 （境）费支出预算为 0 万元，支出决算 0 万元。其中因公出国（境） 团组 0 个、共 0 人、参加其他单位组织的因公出国（境）团组 0 个、共 0 人/无本单位组织的出国（境）团组。因公出国（境） 费支出与预算持平，主要是我部门 2021 年无因公出国（境）工 作任务；与 2020 年度决算支出持平，主要是我部门 2020 年、2021 年均无因公出国（境）工作任务。</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2.公务用车购置及运行维护费支出情况。</w:t>
      </w:r>
      <w:r>
        <w:rPr>
          <w:rFonts w:hint="eastAsia" w:ascii="仿宋_GB2312" w:hAnsi="Times New Roman" w:eastAsia="仿宋_GB2312" w:cs="DengXian-Regular"/>
          <w:sz w:val="32"/>
          <w:szCs w:val="32"/>
        </w:rPr>
        <w:t>本部门2021年度公务用车购置及运行维护费预算为</w:t>
      </w:r>
      <w:r>
        <w:rPr>
          <w:rFonts w:hint="eastAsia" w:ascii="仿宋_GB2312" w:hAnsi="Times New Roman" w:eastAsia="仿宋_GB2312" w:cs="DengXian-Regular"/>
          <w:sz w:val="32"/>
          <w:szCs w:val="32"/>
          <w:lang w:val="en-US" w:eastAsia="zh-CN"/>
        </w:rPr>
        <w:t>3.11</w:t>
      </w:r>
      <w:r>
        <w:rPr>
          <w:rFonts w:hint="eastAsia" w:ascii="仿宋_GB2312" w:hAnsi="Times New Roman" w:eastAsia="仿宋_GB2312" w:cs="DengXian-Regular"/>
          <w:sz w:val="32"/>
          <w:szCs w:val="32"/>
        </w:rPr>
        <w:t>万元，支出决算</w:t>
      </w:r>
      <w:r>
        <w:rPr>
          <w:rFonts w:hint="eastAsia" w:ascii="仿宋_GB2312" w:hAnsi="Times New Roman" w:eastAsia="仿宋_GB2312" w:cs="DengXian-Regular"/>
          <w:sz w:val="32"/>
          <w:szCs w:val="32"/>
          <w:lang w:val="en-US" w:eastAsia="zh-CN"/>
        </w:rPr>
        <w:t>2.98</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95.8</w:t>
      </w:r>
      <w:r>
        <w:rPr>
          <w:rFonts w:hint="eastAsia" w:ascii="仿宋_GB2312" w:hAnsi="Times New Roman" w:eastAsia="仿宋_GB2312" w:cs="DengXian-Regular"/>
          <w:sz w:val="32"/>
          <w:szCs w:val="32"/>
        </w:rPr>
        <w:t>%。较预算减少</w:t>
      </w:r>
      <w:r>
        <w:rPr>
          <w:rFonts w:hint="eastAsia" w:ascii="仿宋_GB2312" w:hAnsi="Times New Roman" w:eastAsia="仿宋_GB2312" w:cs="DengXian-Regular"/>
          <w:sz w:val="32"/>
          <w:szCs w:val="32"/>
          <w:lang w:val="en-US" w:eastAsia="zh-CN"/>
        </w:rPr>
        <w:t>0.13</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4.2</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疫情影响，外出调研减少</w:t>
      </w:r>
      <w:r>
        <w:rPr>
          <w:rFonts w:hint="eastAsia" w:ascii="仿宋_GB2312" w:hAnsi="Times New Roman" w:eastAsia="仿宋_GB2312" w:cs="DengXian-Regular"/>
          <w:sz w:val="32"/>
          <w:szCs w:val="32"/>
        </w:rPr>
        <w:t>；较上年</w:t>
      </w:r>
      <w:r>
        <w:rPr>
          <w:rFonts w:hint="eastAsia" w:ascii="仿宋_GB2312" w:hAnsi="Times New Roman" w:eastAsia="仿宋_GB2312" w:cs="DengXian-Regular"/>
          <w:sz w:val="32"/>
          <w:szCs w:val="32"/>
          <w:lang w:eastAsia="zh-CN"/>
        </w:rPr>
        <w:t>增加</w:t>
      </w:r>
      <w:r>
        <w:rPr>
          <w:rFonts w:hint="eastAsia" w:ascii="仿宋_GB2312" w:hAnsi="Times New Roman" w:eastAsia="仿宋_GB2312" w:cs="DengXian-Regular"/>
          <w:sz w:val="32"/>
          <w:szCs w:val="32"/>
          <w:lang w:val="en-US" w:eastAsia="zh-CN"/>
        </w:rPr>
        <w:t>2.98</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val="en-US" w:eastAsia="zh-CN"/>
        </w:rPr>
        <w:t>2020年无公务用车</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Bold"/>
          <w:b/>
          <w:bCs/>
          <w:sz w:val="32"/>
          <w:szCs w:val="32"/>
        </w:rPr>
      </w:pPr>
      <w:r>
        <w:rPr>
          <w:rFonts w:hint="eastAsia" w:ascii="仿宋_GB2312" w:hAnsi="Times New Roman" w:eastAsia="仿宋_GB2312" w:cs="DengXian-Bold"/>
          <w:sz w:val="32"/>
          <w:szCs w:val="32"/>
        </w:rPr>
        <w:t>其中：</w:t>
      </w:r>
    </w:p>
    <w:p>
      <w:pPr>
        <w:adjustRightInd w:val="0"/>
        <w:snapToGrid w:val="0"/>
        <w:spacing w:line="580" w:lineRule="exact"/>
        <w:ind w:firstLine="643"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公务用车购置费支出</w:t>
      </w:r>
      <w:r>
        <w:rPr>
          <w:rFonts w:hint="eastAsia" w:ascii="楷体_GB2312" w:hAnsi="Times New Roman"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本部门 2021 年度购置公务用 车 0 辆，发生“公务用车购置”经费支出 0 万元。公务用车购置 费支出与预算持平，无增减变化，主要是我部门未发生公务用车 购置经费支出；与 2020 年度决算支出持平，无增减变化，主要 是我部门 2021 年度、2020 年度都未发生公务用车购置经费支出。</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公务用车运行维护费支出</w:t>
      </w:r>
      <w:r>
        <w:rPr>
          <w:rFonts w:hint="eastAsia" w:ascii="仿宋_GB2312" w:hAnsi="Times New Roman" w:eastAsia="仿宋_GB2312" w:cs="DengXian-Regular"/>
          <w:b/>
          <w:sz w:val="32"/>
          <w:szCs w:val="32"/>
          <w:lang w:val="en-US" w:eastAsia="zh-CN"/>
        </w:rPr>
        <w:t>2.98</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本部门2021年度单位公务用车保有量</w:t>
      </w:r>
      <w:r>
        <w:rPr>
          <w:rFonts w:hint="eastAsia" w:ascii="仿宋_GB2312" w:hAnsi="Times New Roman" w:eastAsia="仿宋_GB2312" w:cs="DengXian-Regular"/>
          <w:sz w:val="32"/>
          <w:szCs w:val="32"/>
          <w:lang w:val="en-US" w:eastAsia="zh-CN"/>
        </w:rPr>
        <w:t>3</w:t>
      </w:r>
      <w:r>
        <w:rPr>
          <w:rFonts w:hint="eastAsia" w:ascii="仿宋_GB2312" w:hAnsi="Times New Roman" w:eastAsia="仿宋_GB2312" w:cs="DengXian-Regular"/>
          <w:sz w:val="32"/>
          <w:szCs w:val="32"/>
        </w:rPr>
        <w:t>辆。公车运行维护费支出较预算减少</w:t>
      </w:r>
      <w:r>
        <w:rPr>
          <w:rFonts w:hint="eastAsia" w:ascii="仿宋_GB2312" w:hAnsi="Times New Roman" w:eastAsia="仿宋_GB2312" w:cs="DengXian-Regular"/>
          <w:sz w:val="32"/>
          <w:szCs w:val="32"/>
          <w:lang w:val="en-US" w:eastAsia="zh-CN"/>
        </w:rPr>
        <w:t>0.13</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4.2</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疫情影响，外出调研减少</w:t>
      </w:r>
      <w:r>
        <w:rPr>
          <w:rFonts w:hint="eastAsia" w:ascii="仿宋_GB2312" w:hAnsi="Times New Roman" w:eastAsia="仿宋_GB2312" w:cs="DengXian-Regular"/>
          <w:sz w:val="32"/>
          <w:szCs w:val="32"/>
        </w:rPr>
        <w:t>；较上年增加</w:t>
      </w:r>
      <w:r>
        <w:rPr>
          <w:rFonts w:hint="eastAsia" w:ascii="仿宋_GB2312" w:hAnsi="Times New Roman" w:eastAsia="仿宋_GB2312" w:cs="DengXian-Regular"/>
          <w:sz w:val="32"/>
          <w:szCs w:val="32"/>
          <w:lang w:val="en-US" w:eastAsia="zh-CN"/>
        </w:rPr>
        <w:t>2.98</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val="en-US" w:eastAsia="zh-CN"/>
        </w:rPr>
        <w:t>2021年机关事务管理局为我单位提供1辆公务用车使用、企业为方便冬奥服务免费提供用车2辆到冬奥工作结束</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3.公务接待费支出情况。</w:t>
      </w:r>
      <w:r>
        <w:rPr>
          <w:rFonts w:hint="eastAsia" w:ascii="仿宋_GB2312" w:hAnsi="Times New Roman" w:eastAsia="仿宋_GB2312" w:cs="DengXian-Regular"/>
          <w:sz w:val="32"/>
          <w:szCs w:val="32"/>
        </w:rPr>
        <w:t>本部门2021年度公务接待费支出预算为</w:t>
      </w:r>
      <w:r>
        <w:rPr>
          <w:rFonts w:hint="eastAsia" w:ascii="仿宋_GB2312" w:hAnsi="Times New Roman" w:eastAsia="仿宋_GB2312" w:cs="DengXian-Regular"/>
          <w:sz w:val="32"/>
          <w:szCs w:val="32"/>
          <w:lang w:val="en-US" w:eastAsia="zh-CN"/>
        </w:rPr>
        <w:t>0.55</w:t>
      </w:r>
      <w:r>
        <w:rPr>
          <w:rFonts w:hint="eastAsia" w:ascii="仿宋_GB2312" w:hAnsi="Times New Roman" w:eastAsia="仿宋_GB2312" w:cs="DengXian-Regular"/>
          <w:sz w:val="32"/>
          <w:szCs w:val="32"/>
        </w:rPr>
        <w:t>万元，支出决算</w:t>
      </w:r>
      <w:r>
        <w:rPr>
          <w:rFonts w:hint="eastAsia" w:ascii="仿宋_GB2312" w:hAnsi="Times New Roman" w:eastAsia="仿宋_GB2312" w:cs="DengXian-Regular"/>
          <w:sz w:val="32"/>
          <w:szCs w:val="32"/>
          <w:lang w:val="en-US" w:eastAsia="zh-CN"/>
        </w:rPr>
        <w:t>0.27</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49.1</w:t>
      </w:r>
      <w:r>
        <w:rPr>
          <w:rFonts w:hint="eastAsia" w:ascii="仿宋_GB2312" w:hAnsi="Times New Roman" w:eastAsia="仿宋_GB2312" w:cs="DengXian-Regular"/>
          <w:sz w:val="32"/>
          <w:szCs w:val="32"/>
        </w:rPr>
        <w:t>%。本年度共发生公务接待</w:t>
      </w: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批次、</w:t>
      </w:r>
      <w:r>
        <w:rPr>
          <w:rFonts w:hint="eastAsia" w:ascii="仿宋_GB2312" w:hAnsi="Times New Roman" w:eastAsia="仿宋_GB2312" w:cs="DengXian-Regular"/>
          <w:sz w:val="32"/>
          <w:szCs w:val="32"/>
          <w:lang w:val="en-US" w:eastAsia="zh-CN"/>
        </w:rPr>
        <w:t>25</w:t>
      </w:r>
      <w:r>
        <w:rPr>
          <w:rFonts w:hint="eastAsia" w:ascii="仿宋_GB2312" w:hAnsi="Times New Roman" w:eastAsia="仿宋_GB2312" w:cs="DengXian-Regular"/>
          <w:sz w:val="32"/>
          <w:szCs w:val="32"/>
        </w:rPr>
        <w:t>人次。公务接待费支出较预算减少</w:t>
      </w:r>
      <w:r>
        <w:rPr>
          <w:rFonts w:hint="eastAsia" w:ascii="仿宋_GB2312" w:hAnsi="Times New Roman" w:eastAsia="仿宋_GB2312" w:cs="DengXian-Regular"/>
          <w:sz w:val="32"/>
          <w:szCs w:val="32"/>
          <w:lang w:val="en-US" w:eastAsia="zh-CN"/>
        </w:rPr>
        <w:t>0.28</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50.9</w:t>
      </w:r>
      <w:r>
        <w:rPr>
          <w:rFonts w:hint="eastAsia" w:ascii="仿宋_GB2312" w:hAnsi="Times New Roman" w:eastAsia="仿宋_GB2312" w:cs="DengXian-Regular"/>
          <w:sz w:val="32"/>
          <w:szCs w:val="32"/>
        </w:rPr>
        <w:t>%,主要是</w:t>
      </w:r>
      <w:r>
        <w:rPr>
          <w:rFonts w:hint="eastAsia" w:ascii="仿宋_GB2312" w:hAnsi="Times New Roman" w:eastAsia="仿宋_GB2312" w:cs="Wingdings"/>
          <w:sz w:val="32"/>
          <w:szCs w:val="32"/>
          <w:lang w:eastAsia="zh-CN"/>
        </w:rPr>
        <w:t>疫情影响</w:t>
      </w:r>
      <w:r>
        <w:rPr>
          <w:rFonts w:hint="eastAsia" w:ascii="仿宋_GB2312" w:hAnsi="Times New Roman" w:eastAsia="仿宋_GB2312" w:cs="DengXian-Regular"/>
          <w:sz w:val="32"/>
          <w:szCs w:val="32"/>
          <w:lang w:eastAsia="zh-CN"/>
        </w:rPr>
        <w:t>接待次数、数量同步减少</w:t>
      </w:r>
      <w:r>
        <w:rPr>
          <w:rFonts w:hint="eastAsia" w:ascii="仿宋_GB2312" w:hAnsi="Times New Roman" w:eastAsia="仿宋_GB2312" w:cs="DengXian-Regular"/>
          <w:sz w:val="32"/>
          <w:szCs w:val="32"/>
        </w:rPr>
        <w:t>；较上年度减少</w:t>
      </w:r>
      <w:r>
        <w:rPr>
          <w:rFonts w:hint="eastAsia" w:ascii="仿宋_GB2312" w:hAnsi="Times New Roman" w:eastAsia="仿宋_GB2312" w:cs="DengXian-Regular"/>
          <w:sz w:val="32"/>
          <w:szCs w:val="32"/>
          <w:lang w:val="en-US" w:eastAsia="zh-CN"/>
        </w:rPr>
        <w:t>0.07</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20.6</w:t>
      </w:r>
      <w:r>
        <w:rPr>
          <w:rFonts w:hint="eastAsia" w:ascii="仿宋_GB2312" w:hAnsi="Times New Roman" w:eastAsia="仿宋_GB2312" w:cs="DengXian-Regular"/>
          <w:sz w:val="32"/>
          <w:szCs w:val="32"/>
        </w:rPr>
        <w:t>%,主要是</w:t>
      </w:r>
      <w:r>
        <w:rPr>
          <w:rFonts w:hint="eastAsia" w:ascii="仿宋_GB2312" w:hAnsi="Times New Roman" w:eastAsia="仿宋_GB2312" w:cs="Wingdings"/>
          <w:sz w:val="32"/>
          <w:szCs w:val="32"/>
          <w:lang w:eastAsia="zh-CN"/>
        </w:rPr>
        <w:t>疫情影响</w:t>
      </w:r>
      <w:r>
        <w:rPr>
          <w:rFonts w:hint="eastAsia" w:ascii="仿宋_GB2312" w:hAnsi="Times New Roman" w:eastAsia="仿宋_GB2312" w:cs="DengXian-Regular"/>
          <w:sz w:val="32"/>
          <w:szCs w:val="32"/>
          <w:lang w:eastAsia="zh-CN"/>
        </w:rPr>
        <w:t>接待次数、数量同步减少</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（一）预算绩效管理工作开展情况</w:t>
      </w:r>
    </w:p>
    <w:p>
      <w:pPr>
        <w:adjustRightInd w:val="0"/>
        <w:snapToGrid w:val="0"/>
        <w:spacing w:line="58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根据预算绩效管理要求，本部门组织对2021年度一般公共预算项目支出全面开展绩效自评，其中，一级项目</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个，二级项目</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个，共涉及资金</w:t>
      </w:r>
      <w:r>
        <w:rPr>
          <w:rFonts w:hint="eastAsia" w:ascii="仿宋_GB2312" w:hAnsi="仿宋_GB2312" w:eastAsia="仿宋_GB2312" w:cs="仿宋_GB2312"/>
          <w:color w:val="auto"/>
          <w:sz w:val="32"/>
          <w:szCs w:val="32"/>
          <w:lang w:val="en-US" w:eastAsia="zh-CN"/>
        </w:rPr>
        <w:t>98.68</w:t>
      </w:r>
      <w:r>
        <w:rPr>
          <w:rFonts w:hint="eastAsia" w:ascii="仿宋_GB2312" w:hAnsi="仿宋_GB2312" w:eastAsia="仿宋_GB2312" w:cs="仿宋_GB2312"/>
          <w:color w:val="auto"/>
          <w:sz w:val="32"/>
          <w:szCs w:val="32"/>
        </w:rPr>
        <w:t>万元，占一般公共预算项目支出总额的</w:t>
      </w:r>
      <w:r>
        <w:rPr>
          <w:rFonts w:hint="eastAsia" w:ascii="仿宋_GB2312" w:hAnsi="仿宋_GB2312" w:eastAsia="仿宋_GB2312" w:cs="仿宋_GB2312"/>
          <w:color w:val="auto"/>
          <w:sz w:val="32"/>
          <w:szCs w:val="32"/>
          <w:lang w:val="en-US" w:eastAsia="zh-CN"/>
        </w:rPr>
        <w:t>88.8%</w:t>
      </w:r>
      <w:r>
        <w:rPr>
          <w:rFonts w:hint="eastAsia" w:ascii="仿宋_GB2312" w:hAnsi="仿宋_GB2312" w:eastAsia="仿宋_GB2312" w:cs="仿宋_GB2312"/>
          <w:color w:val="auto"/>
          <w:sz w:val="32"/>
          <w:szCs w:val="32"/>
        </w:rPr>
        <w:t>。政府性基金预算一级项目</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个，二级项目</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个,共涉及资金</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万元，占政府性基金预算项目支出总额的</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 xml:space="preserve">     </w:t>
      </w:r>
    </w:p>
    <w:p>
      <w:pPr>
        <w:adjustRightInd w:val="0"/>
        <w:snapToGrid w:val="0"/>
        <w:spacing w:line="580" w:lineRule="exact"/>
        <w:ind w:firstLine="640" w:firstLineChars="200"/>
        <w:rPr>
          <w:rFonts w:ascii="仿宋_GB2312" w:hAnsi="仿宋_GB2312" w:eastAsia="仿宋_GB2312" w:cs="仿宋_GB2312"/>
          <w:color w:val="auto"/>
          <w:sz w:val="32"/>
          <w:szCs w:val="32"/>
          <w:highlight w:val="yellow"/>
        </w:rPr>
      </w:pPr>
      <w:r>
        <w:rPr>
          <w:rFonts w:hint="eastAsia" w:ascii="仿宋_GB2312" w:hAnsi="仿宋_GB2312" w:eastAsia="仿宋_GB2312" w:cs="仿宋_GB2312"/>
          <w:color w:val="auto"/>
          <w:sz w:val="32"/>
          <w:szCs w:val="32"/>
        </w:rPr>
        <w:t>组织对“</w:t>
      </w:r>
      <w:r>
        <w:rPr>
          <w:rFonts w:hint="eastAsia" w:ascii="仿宋_GB2312" w:hAnsi="仿宋_GB2312" w:eastAsia="仿宋_GB2312" w:cs="仿宋_GB2312"/>
          <w:color w:val="auto"/>
          <w:sz w:val="32"/>
          <w:szCs w:val="32"/>
          <w:lang w:val="en-US" w:eastAsia="zh-CN"/>
        </w:rPr>
        <w:t>落实中长期青年发展规划</w:t>
      </w:r>
      <w:r>
        <w:rPr>
          <w:rFonts w:hint="eastAsia" w:ascii="仿宋_GB2312" w:hAnsi="仿宋_GB2312" w:eastAsia="仿宋_GB2312" w:cs="仿宋_GB2312"/>
          <w:color w:val="auto"/>
          <w:sz w:val="32"/>
          <w:szCs w:val="32"/>
        </w:rPr>
        <w:t>”一级项目开展了部门评价，涉及一般公共预算支出</w:t>
      </w:r>
      <w:r>
        <w:rPr>
          <w:rFonts w:hint="eastAsia" w:ascii="仿宋_GB2312" w:hAnsi="仿宋_GB2312" w:eastAsia="仿宋_GB2312" w:cs="仿宋_GB2312"/>
          <w:color w:val="auto"/>
          <w:sz w:val="32"/>
          <w:szCs w:val="32"/>
          <w:lang w:val="en-US" w:eastAsia="zh-CN"/>
        </w:rPr>
        <w:t>38.11</w:t>
      </w:r>
      <w:r>
        <w:rPr>
          <w:rFonts w:hint="eastAsia" w:ascii="仿宋_GB2312" w:hAnsi="仿宋_GB2312" w:eastAsia="仿宋_GB2312" w:cs="仿宋_GB2312"/>
          <w:color w:val="auto"/>
          <w:sz w:val="32"/>
          <w:szCs w:val="32"/>
        </w:rPr>
        <w:t>元，政府性基金预算支出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万元。其中，对“</w:t>
      </w:r>
      <w:r>
        <w:rPr>
          <w:rFonts w:hint="eastAsia" w:ascii="仿宋_GB2312" w:hAnsi="仿宋_GB2312" w:eastAsia="仿宋_GB2312" w:cs="仿宋_GB2312"/>
          <w:color w:val="auto"/>
          <w:sz w:val="32"/>
          <w:szCs w:val="32"/>
          <w:lang w:val="en-US" w:eastAsia="zh-CN"/>
        </w:rPr>
        <w:t>落实中长期青年发展规划</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rPr>
        <w:t>项目委托内部评审机构开展绩效评价。从评价情况来看</w:t>
      </w:r>
      <w:r>
        <w:rPr>
          <w:rFonts w:hint="eastAsia" w:ascii="仿宋_GB2312" w:hAnsi="仿宋_GB2312" w:eastAsia="仿宋_GB2312" w:cs="仿宋_GB2312"/>
          <w:color w:val="auto"/>
          <w:sz w:val="32"/>
          <w:szCs w:val="32"/>
          <w:lang w:val="en-US" w:eastAsia="zh-CN"/>
        </w:rPr>
        <w:t>2021年度项目支出绩效评价得分为9分，</w:t>
      </w:r>
      <w:r>
        <w:rPr>
          <w:rFonts w:hint="eastAsia" w:ascii="仿宋" w:hAnsi="仿宋" w:eastAsia="仿宋"/>
          <w:snapToGrid w:val="0"/>
          <w:color w:val="auto"/>
          <w:kern w:val="0"/>
          <w:sz w:val="32"/>
          <w:szCs w:val="32"/>
        </w:rPr>
        <w:t>资金到位率</w:t>
      </w:r>
      <w:r>
        <w:rPr>
          <w:rFonts w:ascii="仿宋" w:hAnsi="仿宋" w:eastAsia="仿宋"/>
          <w:snapToGrid w:val="0"/>
          <w:color w:val="auto"/>
          <w:kern w:val="0"/>
          <w:sz w:val="32"/>
          <w:szCs w:val="32"/>
        </w:rPr>
        <w:t>100%</w:t>
      </w:r>
      <w:r>
        <w:rPr>
          <w:rFonts w:hint="eastAsia" w:ascii="仿宋" w:hAnsi="仿宋" w:eastAsia="仿宋"/>
          <w:snapToGrid w:val="0"/>
          <w:color w:val="auto"/>
          <w:kern w:val="0"/>
          <w:sz w:val="32"/>
          <w:szCs w:val="32"/>
        </w:rPr>
        <w:t>，预算执行率</w:t>
      </w:r>
      <w:r>
        <w:rPr>
          <w:rFonts w:hint="eastAsia" w:ascii="仿宋" w:hAnsi="仿宋" w:eastAsia="仿宋"/>
          <w:snapToGrid w:val="0"/>
          <w:color w:val="auto"/>
          <w:kern w:val="0"/>
          <w:sz w:val="32"/>
          <w:szCs w:val="32"/>
          <w:lang w:val="en-US" w:eastAsia="zh-CN"/>
        </w:rPr>
        <w:t>73.6</w:t>
      </w:r>
      <w:r>
        <w:rPr>
          <w:rFonts w:ascii="仿宋" w:hAnsi="仿宋" w:eastAsia="仿宋"/>
          <w:snapToGrid w:val="0"/>
          <w:color w:val="auto"/>
          <w:kern w:val="0"/>
          <w:sz w:val="32"/>
          <w:szCs w:val="32"/>
        </w:rPr>
        <w:t>%</w:t>
      </w:r>
      <w:r>
        <w:rPr>
          <w:rFonts w:hint="eastAsia" w:ascii="仿宋" w:hAnsi="仿宋" w:eastAsia="仿宋"/>
          <w:snapToGrid w:val="0"/>
          <w:color w:val="auto"/>
          <w:kern w:val="0"/>
          <w:sz w:val="32"/>
          <w:szCs w:val="32"/>
          <w:lang w:eastAsia="zh-CN"/>
        </w:rPr>
        <w:t>。</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（二）部门决算中项目绩效自评结果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w:t>
      </w:r>
      <w:r>
        <w:rPr>
          <w:rFonts w:hint="eastAsia" w:ascii="仿宋_GB2312" w:hAnsi="仿宋_GB2312" w:eastAsia="仿宋_GB2312" w:cs="仿宋_GB2312"/>
          <w:sz w:val="32"/>
          <w:szCs w:val="32"/>
          <w:lang w:val="en-US" w:eastAsia="zh-CN"/>
        </w:rPr>
        <w:t>落实中长期青年发展规划</w:t>
      </w:r>
      <w:r>
        <w:rPr>
          <w:rFonts w:hint="eastAsia" w:ascii="仿宋_GB2312" w:hAnsi="仿宋_GB2312" w:eastAsia="仿宋_GB2312" w:cs="仿宋_GB2312"/>
          <w:sz w:val="32"/>
          <w:szCs w:val="32"/>
        </w:rPr>
        <w:t>绩效自评结果。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落实中长期青年发展规划</w:t>
      </w:r>
      <w:r>
        <w:rPr>
          <w:rFonts w:hint="eastAsia" w:ascii="仿宋_GB2312" w:hAnsi="仿宋_GB2312" w:eastAsia="仿宋_GB2312" w:cs="仿宋_GB2312"/>
          <w:color w:val="auto"/>
          <w:sz w:val="32"/>
          <w:szCs w:val="32"/>
        </w:rPr>
        <w:t>项目自评综述：根据年初设定的绩效目标，</w:t>
      </w:r>
      <w:r>
        <w:rPr>
          <w:rFonts w:hint="eastAsia" w:ascii="仿宋_GB2312" w:hAnsi="仿宋_GB2312" w:eastAsia="仿宋_GB2312" w:cs="仿宋_GB2312"/>
          <w:color w:val="auto"/>
          <w:sz w:val="32"/>
          <w:szCs w:val="32"/>
          <w:lang w:val="en-US" w:eastAsia="zh-CN"/>
        </w:rPr>
        <w:t>落实中长期青年发展规划</w:t>
      </w:r>
      <w:r>
        <w:rPr>
          <w:rFonts w:hint="eastAsia" w:ascii="仿宋_GB2312" w:hAnsi="仿宋_GB2312" w:eastAsia="仿宋_GB2312" w:cs="仿宋_GB2312"/>
          <w:color w:val="auto"/>
          <w:sz w:val="32"/>
          <w:szCs w:val="32"/>
        </w:rPr>
        <w:t>项目绩效自评得分为</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分（绩效自评表附后）。全年预算数</w:t>
      </w:r>
      <w:r>
        <w:rPr>
          <w:rFonts w:hint="eastAsia" w:ascii="仿宋_GB2312" w:hAnsi="仿宋_GB2312" w:eastAsia="仿宋_GB2312" w:cs="仿宋_GB2312"/>
          <w:color w:val="auto"/>
          <w:sz w:val="32"/>
          <w:szCs w:val="32"/>
          <w:lang w:val="en-US" w:eastAsia="zh-CN"/>
        </w:rPr>
        <w:t>51.8</w:t>
      </w:r>
      <w:r>
        <w:rPr>
          <w:rFonts w:hint="eastAsia" w:ascii="仿宋_GB2312" w:hAnsi="仿宋_GB2312" w:eastAsia="仿宋_GB2312" w:cs="仿宋_GB2312"/>
          <w:color w:val="auto"/>
          <w:sz w:val="32"/>
          <w:szCs w:val="32"/>
        </w:rPr>
        <w:t>万元，执行数为</w:t>
      </w:r>
      <w:r>
        <w:rPr>
          <w:rFonts w:hint="eastAsia" w:ascii="仿宋_GB2312" w:hAnsi="仿宋_GB2312" w:eastAsia="仿宋_GB2312" w:cs="仿宋_GB2312"/>
          <w:color w:val="auto"/>
          <w:sz w:val="32"/>
          <w:szCs w:val="32"/>
          <w:lang w:val="en-US" w:eastAsia="zh-CN"/>
        </w:rPr>
        <w:t>38.11</w:t>
      </w:r>
      <w:r>
        <w:rPr>
          <w:rFonts w:hint="eastAsia" w:ascii="仿宋_GB2312" w:hAnsi="仿宋_GB2312" w:eastAsia="仿宋_GB2312" w:cs="仿宋_GB2312"/>
          <w:color w:val="auto"/>
          <w:sz w:val="32"/>
          <w:szCs w:val="32"/>
        </w:rPr>
        <w:t>万元，完成预算的</w:t>
      </w:r>
      <w:r>
        <w:rPr>
          <w:rFonts w:hint="eastAsia" w:ascii="仿宋" w:hAnsi="仿宋" w:eastAsia="仿宋"/>
          <w:snapToGrid w:val="0"/>
          <w:color w:val="auto"/>
          <w:kern w:val="0"/>
          <w:sz w:val="32"/>
          <w:szCs w:val="32"/>
          <w:lang w:val="en-US" w:eastAsia="zh-CN"/>
        </w:rPr>
        <w:t>73.6</w:t>
      </w:r>
      <w:r>
        <w:rPr>
          <w:rFonts w:ascii="仿宋" w:hAnsi="仿宋" w:eastAsia="仿宋"/>
          <w:snapToGrid w:val="0"/>
          <w:color w:val="auto"/>
          <w:kern w:val="0"/>
          <w:sz w:val="32"/>
          <w:szCs w:val="32"/>
        </w:rPr>
        <w:t>%</w:t>
      </w:r>
      <w:r>
        <w:rPr>
          <w:rFonts w:hint="eastAsia" w:ascii="仿宋_GB2312" w:hAnsi="仿宋_GB2312" w:eastAsia="仿宋_GB2312" w:cs="仿宋_GB2312"/>
          <w:color w:val="auto"/>
          <w:sz w:val="32"/>
          <w:szCs w:val="32"/>
        </w:rPr>
        <w:t>。项目绩效目标完成情况：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w:t>
      </w:r>
      <w:r>
        <w:rPr>
          <w:rFonts w:hint="eastAsia" w:ascii="黑体" w:hAnsi="黑体" w:eastAsia="黑体" w:cs="黑体"/>
          <w:color w:val="auto"/>
          <w:sz w:val="32"/>
          <w:szCs w:val="32"/>
          <w:lang w:val="en-US" w:eastAsia="zh-CN"/>
        </w:rPr>
        <w:t>把握发展形势，有效推进</w:t>
      </w:r>
      <w:r>
        <w:rPr>
          <w:rFonts w:hint="eastAsia" w:ascii="黑体" w:hAnsi="黑体" w:eastAsia="黑体" w:cs="黑体"/>
          <w:color w:val="auto"/>
          <w:sz w:val="32"/>
          <w:szCs w:val="32"/>
        </w:rPr>
        <w:t>青少年思想</w:t>
      </w:r>
      <w:r>
        <w:rPr>
          <w:rFonts w:hint="eastAsia" w:ascii="黑体" w:hAnsi="黑体" w:eastAsia="黑体" w:cs="黑体"/>
          <w:color w:val="auto"/>
          <w:sz w:val="32"/>
          <w:szCs w:val="32"/>
          <w:lang w:val="en-US" w:eastAsia="zh-CN"/>
        </w:rPr>
        <w:t>政治</w:t>
      </w:r>
      <w:r>
        <w:rPr>
          <w:rFonts w:hint="eastAsia" w:ascii="黑体" w:hAnsi="黑体" w:eastAsia="黑体" w:cs="黑体"/>
          <w:color w:val="auto"/>
          <w:sz w:val="32"/>
          <w:szCs w:val="32"/>
        </w:rPr>
        <w:t>引领工作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紧紧围绕培养中国特色社会主义事业合格建设者和可靠接班人这一根本任务，引导广大团员青年用</w:t>
      </w:r>
      <w:r>
        <w:rPr>
          <w:rFonts w:hint="eastAsia" w:ascii="仿宋_GB2312" w:hAnsi="仿宋_GB2312" w:eastAsia="仿宋_GB2312" w:cs="仿宋_GB2312"/>
          <w:color w:val="auto"/>
          <w:sz w:val="32"/>
          <w:szCs w:val="32"/>
          <w:lang w:eastAsia="zh-CN"/>
        </w:rPr>
        <w:t>习近平新时代中国特色社会思想</w:t>
      </w:r>
      <w:r>
        <w:rPr>
          <w:rFonts w:hint="eastAsia" w:ascii="仿宋_GB2312" w:hAnsi="仿宋_GB2312" w:eastAsia="仿宋_GB2312" w:cs="仿宋_GB2312"/>
          <w:color w:val="auto"/>
          <w:sz w:val="32"/>
          <w:szCs w:val="32"/>
          <w:lang w:val="en-US" w:eastAsia="zh-CN"/>
        </w:rPr>
        <w:t>构筑强大精神支柱，带领广大青年在感恩奋进决战决胜交好两份优异答卷的进程中奋发有为、建功立业。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宋体" w:eastAsia="楷体_GB2312"/>
          <w:b/>
          <w:bCs/>
          <w:color w:val="auto"/>
          <w:sz w:val="32"/>
          <w:szCs w:val="32"/>
          <w:lang w:eastAsia="zh-CN"/>
        </w:rPr>
        <w:t>（</w:t>
      </w:r>
      <w:r>
        <w:rPr>
          <w:rFonts w:hint="eastAsia" w:ascii="楷体_GB2312" w:hAnsi="宋体" w:eastAsia="楷体_GB2312"/>
          <w:b/>
          <w:bCs/>
          <w:color w:val="auto"/>
          <w:sz w:val="32"/>
          <w:szCs w:val="32"/>
          <w:lang w:val="en-US" w:eastAsia="zh-CN"/>
        </w:rPr>
        <w:t>一</w:t>
      </w:r>
      <w:r>
        <w:rPr>
          <w:rFonts w:hint="eastAsia" w:ascii="楷体_GB2312" w:hAnsi="宋体" w:eastAsia="楷体_GB2312"/>
          <w:b/>
          <w:bCs/>
          <w:color w:val="auto"/>
          <w:sz w:val="32"/>
          <w:szCs w:val="32"/>
          <w:lang w:eastAsia="zh-CN"/>
        </w:rPr>
        <w:t>）持续</w:t>
      </w:r>
      <w:r>
        <w:rPr>
          <w:rFonts w:hint="eastAsia" w:ascii="楷体_GB2312" w:hAnsi="宋体" w:eastAsia="楷体_GB2312"/>
          <w:b/>
          <w:bCs/>
          <w:color w:val="auto"/>
          <w:sz w:val="32"/>
          <w:szCs w:val="32"/>
        </w:rPr>
        <w:t>推进青年理论武装。</w:t>
      </w:r>
      <w:r>
        <w:rPr>
          <w:rFonts w:hint="eastAsia" w:ascii="仿宋_GB2312" w:hAnsi="仿宋_GB2312" w:eastAsia="仿宋_GB2312" w:cs="仿宋_GB2312"/>
          <w:color w:val="auto"/>
          <w:sz w:val="32"/>
          <w:szCs w:val="32"/>
        </w:rPr>
        <w:t>切实把学习宣传贯彻</w:t>
      </w:r>
      <w:r>
        <w:rPr>
          <w:rFonts w:hint="eastAsia" w:ascii="仿宋_GB2312" w:hAnsi="仿宋_GB2312" w:eastAsia="仿宋_GB2312" w:cs="仿宋_GB2312"/>
          <w:color w:val="auto"/>
          <w:sz w:val="32"/>
          <w:szCs w:val="32"/>
          <w:lang w:eastAsia="zh-CN"/>
        </w:rPr>
        <w:t>习近平新时代中国特色社会思想</w:t>
      </w:r>
      <w:r>
        <w:rPr>
          <w:rFonts w:hint="eastAsia" w:ascii="仿宋_GB2312" w:hAnsi="仿宋_GB2312" w:eastAsia="仿宋_GB2312" w:cs="仿宋_GB2312"/>
          <w:color w:val="auto"/>
          <w:sz w:val="32"/>
          <w:szCs w:val="32"/>
        </w:rPr>
        <w:t>作为当前</w:t>
      </w:r>
      <w:r>
        <w:rPr>
          <w:rFonts w:hint="eastAsia" w:ascii="仿宋_GB2312" w:hAnsi="仿宋_GB2312" w:eastAsia="仿宋_GB2312" w:cs="仿宋_GB2312"/>
          <w:color w:val="auto"/>
          <w:sz w:val="32"/>
          <w:szCs w:val="32"/>
          <w:lang w:eastAsia="zh-CN"/>
        </w:rPr>
        <w:t>青少年思想引领工作的首要政治任务，紧紧围绕习近平总书记有关贺信、寄语和重要指示批示精神等相关内容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以及</w:t>
      </w:r>
      <w:r>
        <w:rPr>
          <w:rFonts w:hint="eastAsia" w:ascii="仿宋_GB2312" w:hAnsi="仿宋_GB2312" w:eastAsia="仿宋_GB2312" w:cs="仿宋_GB2312"/>
          <w:color w:val="auto"/>
          <w:sz w:val="32"/>
          <w:szCs w:val="32"/>
          <w:lang w:eastAsia="zh-CN"/>
        </w:rPr>
        <w:t>党史学习教育</w:t>
      </w:r>
      <w:r>
        <w:rPr>
          <w:rFonts w:hint="eastAsia" w:ascii="仿宋_GB2312" w:hAnsi="仿宋_GB2312" w:eastAsia="仿宋_GB2312" w:cs="仿宋_GB2312"/>
          <w:color w:val="auto"/>
          <w:sz w:val="32"/>
          <w:szCs w:val="32"/>
          <w:lang w:val="en-US" w:eastAsia="zh-CN"/>
        </w:rPr>
        <w:t>安排部署，</w:t>
      </w:r>
      <w:r>
        <w:rPr>
          <w:rFonts w:hint="eastAsia" w:ascii="仿宋_GB2312" w:hAnsi="仿宋_GB2312" w:eastAsia="仿宋_GB2312" w:cs="仿宋_GB2312"/>
          <w:color w:val="auto"/>
          <w:sz w:val="32"/>
          <w:szCs w:val="32"/>
          <w:lang w:eastAsia="zh-CN"/>
        </w:rPr>
        <w:t>通过青年大学习行动、青年马克思主义者培训、主题团日、主题</w:t>
      </w:r>
      <w:r>
        <w:rPr>
          <w:rStyle w:val="11"/>
          <w:rFonts w:hint="eastAsia" w:ascii="仿宋_GB2312" w:hAnsi="仿宋_GB2312" w:eastAsia="仿宋_GB2312" w:cs="仿宋_GB2312"/>
          <w:color w:val="auto"/>
          <w:sz w:val="32"/>
          <w:szCs w:val="32"/>
        </w:rPr>
        <w:t>队日等方式，持续组织广大团员青年开展理论学习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“青年大学习”</w:t>
      </w:r>
      <w:r>
        <w:rPr>
          <w:rFonts w:hint="eastAsia" w:ascii="仿宋_GB2312" w:hAnsi="仿宋_GB2312" w:eastAsia="仿宋_GB2312" w:cs="仿宋_GB2312"/>
          <w:color w:val="auto"/>
          <w:sz w:val="32"/>
          <w:szCs w:val="32"/>
          <w:lang w:val="en-US" w:eastAsia="zh-CN"/>
        </w:rPr>
        <w:t>参与人次达276万。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宋体" w:eastAsia="楷体_GB2312"/>
          <w:b/>
          <w:bCs/>
          <w:color w:val="auto"/>
          <w:sz w:val="32"/>
          <w:szCs w:val="32"/>
          <w:lang w:val="en-US" w:eastAsia="zh-CN"/>
        </w:rPr>
        <w:t>（二）</w:t>
      </w:r>
      <w:r>
        <w:rPr>
          <w:rFonts w:hint="eastAsia" w:ascii="楷体_GB2312" w:hAnsi="宋体" w:eastAsia="楷体_GB2312"/>
          <w:b/>
          <w:bCs/>
          <w:color w:val="auto"/>
          <w:sz w:val="32"/>
          <w:szCs w:val="32"/>
          <w:lang w:eastAsia="zh-CN"/>
        </w:rPr>
        <w:t>培育和</w:t>
      </w:r>
      <w:r>
        <w:rPr>
          <w:rFonts w:hint="eastAsia" w:ascii="楷体_GB2312" w:hAnsi="宋体" w:eastAsia="楷体_GB2312"/>
          <w:b/>
          <w:bCs/>
          <w:color w:val="auto"/>
          <w:sz w:val="32"/>
          <w:szCs w:val="32"/>
        </w:rPr>
        <w:t>践行社会主义核心价值观。</w:t>
      </w:r>
      <w:r>
        <w:rPr>
          <w:rFonts w:hint="eastAsia" w:ascii="仿宋_GB2312" w:hAnsi="仿宋_GB2312" w:eastAsia="仿宋_GB2312" w:cs="仿宋_GB2312"/>
          <w:color w:val="auto"/>
          <w:sz w:val="32"/>
          <w:szCs w:val="32"/>
          <w:lang w:val="en-US" w:eastAsia="zh-CN"/>
        </w:rPr>
        <w:t>以弘扬主旋律、传播正能量为总要求，在广大青少年中厚植爱党、爱国、爱社会主义的情感，</w:t>
      </w:r>
      <w:r>
        <w:rPr>
          <w:rFonts w:hint="eastAsia" w:ascii="仿宋_GB2312" w:hAnsi="仿宋_GB2312" w:eastAsia="仿宋_GB2312" w:cs="仿宋_GB2312"/>
          <w:color w:val="auto"/>
          <w:sz w:val="32"/>
          <w:szCs w:val="32"/>
          <w:lang w:eastAsia="zh-CN"/>
        </w:rPr>
        <w:t>举办张家口共青团202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年五</w:t>
      </w:r>
      <w:r>
        <w:rPr>
          <w:rFonts w:hint="eastAsia" w:ascii="仿宋_GB2312" w:hAnsi="宋体" w:eastAsia="仿宋_GB2312"/>
          <w:bCs/>
          <w:sz w:val="32"/>
          <w:szCs w:val="32"/>
        </w:rPr>
        <w:t>四青年节</w:t>
      </w:r>
      <w:r>
        <w:rPr>
          <w:rFonts w:hint="eastAsia" w:ascii="仿宋_GB2312" w:hAnsi="宋体" w:eastAsia="仿宋_GB2312"/>
          <w:bCs/>
          <w:sz w:val="32"/>
          <w:szCs w:val="32"/>
          <w:lang w:val="en-US" w:eastAsia="zh-CN"/>
        </w:rPr>
        <w:t>座谈会</w:t>
      </w:r>
      <w:r>
        <w:rPr>
          <w:rFonts w:hint="eastAsia" w:ascii="仿宋_GB2312" w:hAnsi="宋体" w:eastAsia="仿宋_GB2312"/>
          <w:bCs/>
          <w:sz w:val="32"/>
          <w:szCs w:val="32"/>
        </w:rPr>
        <w:t>，市委主要领导参加</w:t>
      </w:r>
      <w:r>
        <w:rPr>
          <w:rFonts w:hint="eastAsia" w:ascii="仿宋_GB2312" w:hAnsi="仿宋_GB2312" w:eastAsia="仿宋_GB2312" w:cs="仿宋_GB2312"/>
          <w:color w:val="auto"/>
          <w:sz w:val="32"/>
          <w:szCs w:val="32"/>
          <w:lang w:val="en-US" w:eastAsia="zh-CN"/>
        </w:rPr>
        <w:t>座谈并教育引领广大团员青年坚定理想信念；积极开展青年典型选树工作，扎实做好“冀青之星”、“两红两优”、“新长征突击手”等先进典型选树工作，选树各类先进典型集体和个人180人，并通过采访交流、新闻媒体、宣讲报告等形式广泛宣传报道；广泛</w:t>
      </w:r>
      <w:r>
        <w:rPr>
          <w:rFonts w:hint="eastAsia" w:ascii="仿宋_GB2312" w:hAnsi="宋体" w:eastAsia="仿宋_GB2312" w:cstheme="minorBidi"/>
          <w:b w:val="0"/>
          <w:bCs/>
          <w:color w:val="auto"/>
          <w:kern w:val="2"/>
          <w:sz w:val="32"/>
          <w:szCs w:val="32"/>
          <w:lang w:val="en-US" w:eastAsia="zh-CN" w:bidi="ar-SA"/>
        </w:rPr>
        <w:t>开展</w:t>
      </w:r>
      <w:r>
        <w:rPr>
          <w:rFonts w:hint="eastAsia" w:ascii="仿宋_GB2312" w:hAnsi="仿宋_GB2312" w:eastAsia="仿宋_GB2312" w:cs="仿宋_GB2312"/>
          <w:color w:val="auto"/>
          <w:sz w:val="32"/>
          <w:szCs w:val="32"/>
          <w:lang w:val="en-US" w:eastAsia="zh-CN"/>
        </w:rPr>
        <w:t>“红领巾心向党”、“学党史强信念跟党走”、“听老党员讲红色故事”“请党放心 强国有我”等主题实践活动，教育引导广大团员青年、少先队员，坚定听党话、跟党走的决心。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宋体" w:eastAsia="仿宋_GB2312"/>
          <w:bCs/>
          <w:color w:val="auto"/>
          <w:sz w:val="32"/>
          <w:szCs w:val="32"/>
          <w:lang w:eastAsia="zh-CN"/>
        </w:rPr>
      </w:pPr>
      <w:r>
        <w:rPr>
          <w:rFonts w:hint="eastAsia" w:ascii="楷体" w:hAnsi="楷体" w:eastAsia="楷体" w:cs="楷体"/>
          <w:b/>
          <w:bCs/>
          <w:color w:val="auto"/>
          <w:sz w:val="32"/>
          <w:szCs w:val="32"/>
          <w:lang w:val="en-US" w:eastAsia="zh-CN"/>
        </w:rPr>
        <w:t>（三）</w:t>
      </w:r>
      <w:r>
        <w:rPr>
          <w:rFonts w:hint="eastAsia" w:ascii="楷体" w:hAnsi="楷体" w:eastAsia="楷体" w:cs="楷体"/>
          <w:b/>
          <w:bCs/>
          <w:color w:val="auto"/>
          <w:sz w:val="32"/>
          <w:szCs w:val="32"/>
          <w:lang w:eastAsia="zh-CN"/>
        </w:rPr>
        <w:t>加强网上青少年思想引领。</w:t>
      </w:r>
      <w:r>
        <w:rPr>
          <w:rFonts w:hint="eastAsia" w:ascii="仿宋_GB2312" w:hAnsi="仿宋_GB2312" w:eastAsia="仿宋_GB2312" w:cs="仿宋_GB2312"/>
          <w:b w:val="0"/>
          <w:bCs w:val="0"/>
          <w:color w:val="auto"/>
          <w:sz w:val="32"/>
          <w:szCs w:val="32"/>
          <w:lang w:val="en-US" w:eastAsia="zh-CN"/>
        </w:rPr>
        <w:t>以做</w:t>
      </w:r>
      <w:r>
        <w:rPr>
          <w:rFonts w:hint="eastAsia" w:ascii="仿宋_GB2312" w:hAnsi="仿宋_GB2312" w:eastAsia="仿宋_GB2312" w:cs="仿宋_GB2312"/>
          <w:color w:val="auto"/>
          <w:sz w:val="32"/>
          <w:szCs w:val="32"/>
          <w:lang w:val="en-US" w:eastAsia="zh-CN"/>
        </w:rPr>
        <w:t>强正面宣传，拓宽传播矩阵为主，牢牢把握青年行为习惯，持续利用张家口共青团微信公众号、抖音号、微博、张家口红领巾和张家口市志愿服务指导中心公众号等</w:t>
      </w:r>
      <w:r>
        <w:rPr>
          <w:rFonts w:hint="eastAsia" w:ascii="仿宋_GB2312" w:hAnsi="宋体" w:eastAsia="仿宋_GB2312"/>
          <w:bCs/>
          <w:color w:val="auto"/>
          <w:sz w:val="32"/>
          <w:szCs w:val="32"/>
        </w:rPr>
        <w:t>发布青少年思想引领、服务类信息，开展持续性宣传</w:t>
      </w:r>
      <w:r>
        <w:rPr>
          <w:rFonts w:hint="eastAsia" w:ascii="仿宋_GB2312" w:hAnsi="宋体" w:eastAsia="仿宋_GB2312"/>
          <w:bCs/>
          <w:color w:val="auto"/>
          <w:sz w:val="32"/>
          <w:szCs w:val="32"/>
          <w:lang w:eastAsia="zh-CN"/>
        </w:rPr>
        <w:t>。</w:t>
      </w:r>
      <w:r>
        <w:rPr>
          <w:rFonts w:hint="eastAsia" w:ascii="仿宋_GB2312" w:hAnsi="宋体" w:eastAsia="仿宋_GB2312"/>
          <w:bCs/>
          <w:color w:val="auto"/>
          <w:sz w:val="32"/>
          <w:szCs w:val="32"/>
          <w:lang w:val="en-US" w:eastAsia="zh-CN"/>
        </w:rPr>
        <w:t>2021</w:t>
      </w:r>
      <w:r>
        <w:rPr>
          <w:rFonts w:hint="eastAsia" w:ascii="仿宋_GB2312" w:hAnsi="宋体" w:eastAsia="仿宋_GB2312"/>
          <w:bCs/>
          <w:color w:val="auto"/>
          <w:sz w:val="32"/>
          <w:szCs w:val="32"/>
          <w:lang w:eastAsia="zh-CN"/>
        </w:rPr>
        <w:t>年以来，</w:t>
      </w:r>
      <w:r>
        <w:rPr>
          <w:rFonts w:hint="eastAsia" w:ascii="仿宋_GB2312" w:hAnsi="宋体" w:eastAsia="仿宋_GB2312"/>
          <w:bCs/>
          <w:color w:val="auto"/>
          <w:sz w:val="32"/>
          <w:szCs w:val="32"/>
          <w:lang w:val="en-US" w:eastAsia="zh-CN"/>
        </w:rPr>
        <w:t>微信</w:t>
      </w:r>
      <w:r>
        <w:rPr>
          <w:rFonts w:hint="eastAsia" w:ascii="仿宋_GB2312" w:hAnsi="宋体" w:eastAsia="仿宋_GB2312"/>
          <w:bCs/>
          <w:color w:val="auto"/>
          <w:sz w:val="32"/>
          <w:szCs w:val="32"/>
          <w:lang w:eastAsia="zh-CN"/>
        </w:rPr>
        <w:t>公众号累计向</w:t>
      </w:r>
      <w:r>
        <w:rPr>
          <w:rFonts w:hint="eastAsia" w:ascii="仿宋_GB2312" w:hAnsi="宋体" w:eastAsia="仿宋_GB2312"/>
          <w:bCs/>
          <w:color w:val="auto"/>
          <w:sz w:val="32"/>
          <w:szCs w:val="32"/>
          <w:lang w:val="en-US" w:eastAsia="zh-CN"/>
        </w:rPr>
        <w:t>72.8</w:t>
      </w:r>
      <w:r>
        <w:rPr>
          <w:rFonts w:hint="eastAsia" w:ascii="仿宋_GB2312" w:hAnsi="宋体" w:eastAsia="仿宋_GB2312"/>
          <w:bCs/>
          <w:color w:val="auto"/>
          <w:sz w:val="32"/>
          <w:szCs w:val="32"/>
          <w:lang w:eastAsia="zh-CN"/>
        </w:rPr>
        <w:t>万粉丝推送服务引领类信息</w:t>
      </w:r>
      <w:r>
        <w:rPr>
          <w:rFonts w:hint="eastAsia" w:ascii="仿宋_GB2312" w:hAnsi="宋体" w:eastAsia="仿宋_GB2312"/>
          <w:bCs/>
          <w:color w:val="auto"/>
          <w:sz w:val="32"/>
          <w:szCs w:val="32"/>
          <w:lang w:val="en-US" w:eastAsia="zh-CN"/>
        </w:rPr>
        <w:t>600余</w:t>
      </w:r>
      <w:r>
        <w:rPr>
          <w:rFonts w:hint="eastAsia" w:ascii="仿宋_GB2312" w:hAnsi="宋体" w:eastAsia="仿宋_GB2312"/>
          <w:bCs/>
          <w:color w:val="auto"/>
          <w:sz w:val="32"/>
          <w:szCs w:val="32"/>
          <w:lang w:eastAsia="zh-CN"/>
        </w:rPr>
        <w:t>篇、工作信息</w:t>
      </w:r>
      <w:r>
        <w:rPr>
          <w:rFonts w:hint="eastAsia" w:ascii="仿宋_GB2312" w:hAnsi="宋体" w:eastAsia="仿宋_GB2312"/>
          <w:bCs/>
          <w:color w:val="auto"/>
          <w:sz w:val="32"/>
          <w:szCs w:val="32"/>
          <w:lang w:val="en-US" w:eastAsia="zh-CN"/>
        </w:rPr>
        <w:t>82余</w:t>
      </w:r>
      <w:r>
        <w:rPr>
          <w:rFonts w:hint="eastAsia" w:ascii="仿宋_GB2312" w:hAnsi="宋体" w:eastAsia="仿宋_GB2312"/>
          <w:bCs/>
          <w:color w:val="auto"/>
          <w:sz w:val="32"/>
          <w:szCs w:val="32"/>
          <w:lang w:eastAsia="zh-CN"/>
        </w:rPr>
        <w:t>条，推送“党史百年天天读”</w:t>
      </w:r>
      <w:r>
        <w:rPr>
          <w:rFonts w:hint="eastAsia" w:ascii="仿宋_GB2312" w:hAnsi="宋体" w:eastAsia="仿宋_GB2312"/>
          <w:bCs/>
          <w:color w:val="auto"/>
          <w:sz w:val="32"/>
          <w:szCs w:val="32"/>
          <w:lang w:val="en-US" w:eastAsia="zh-CN"/>
        </w:rPr>
        <w:t>270余条</w:t>
      </w:r>
      <w:r>
        <w:rPr>
          <w:rFonts w:hint="eastAsia" w:ascii="仿宋_GB2312" w:hAnsi="宋体" w:eastAsia="仿宋_GB2312"/>
          <w:bCs/>
          <w:color w:val="auto"/>
          <w:sz w:val="32"/>
          <w:szCs w:val="32"/>
          <w:lang w:eastAsia="zh-CN"/>
        </w:rPr>
        <w:t>，抖音号累计发布视频</w:t>
      </w:r>
      <w:r>
        <w:rPr>
          <w:rFonts w:hint="eastAsia" w:ascii="仿宋_GB2312" w:hAnsi="宋体" w:eastAsia="仿宋_GB2312"/>
          <w:bCs/>
          <w:color w:val="auto"/>
          <w:sz w:val="32"/>
          <w:szCs w:val="32"/>
          <w:lang w:val="en-US" w:eastAsia="zh-CN"/>
        </w:rPr>
        <w:t>180余条，</w:t>
      </w:r>
      <w:r>
        <w:rPr>
          <w:rFonts w:hint="eastAsia" w:ascii="仿宋_GB2312" w:hAnsi="宋体" w:eastAsia="仿宋_GB2312"/>
          <w:bCs/>
          <w:color w:val="auto"/>
          <w:sz w:val="32"/>
          <w:szCs w:val="32"/>
          <w:lang w:eastAsia="zh-CN"/>
        </w:rPr>
        <w:t>受到广大青年广泛点赞。</w:t>
      </w:r>
    </w:p>
    <w:p>
      <w:pPr>
        <w:pStyle w:val="2"/>
        <w:rPr>
          <w:rFonts w:hint="eastAsia"/>
          <w:lang w:val="en-US" w:eastAsia="zh-CN"/>
        </w:rPr>
      </w:pP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eastAsia="zh-CN"/>
        </w:rPr>
        <w:t>二、</w:t>
      </w:r>
      <w:r>
        <w:rPr>
          <w:rFonts w:hint="eastAsia" w:ascii="黑体" w:hAnsi="黑体" w:eastAsia="黑体" w:cs="黑体"/>
          <w:b w:val="0"/>
          <w:bCs/>
          <w:color w:val="auto"/>
          <w:sz w:val="32"/>
          <w:szCs w:val="32"/>
          <w:lang w:val="en-US" w:eastAsia="zh-CN"/>
        </w:rPr>
        <w:t>立足服务大局，扎实助力党政中心工作</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聚焦围绕中心、服务大局这一工作主线，发挥共青团职能优势，找准工作的切入点、结合点、着力点，团结带领广大团员青年踊跃投身冬奥会筹办、乡村振兴、首都两区建设、创建文明城市等全市重点工作任务，努力在实战实践中提升共青团的引领力、组织力、服务力和贡献度。</w:t>
      </w:r>
    </w:p>
    <w:p>
      <w:pPr>
        <w:pStyle w:val="12"/>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Courier New"/>
          <w:bCs/>
          <w:color w:val="auto"/>
          <w:kern w:val="2"/>
          <w:sz w:val="32"/>
          <w:szCs w:val="32"/>
          <w:lang w:val="en" w:eastAsia="zh-CN" w:bidi="ar-SA"/>
        </w:rPr>
      </w:pPr>
      <w:r>
        <w:rPr>
          <w:rFonts w:hint="eastAsia" w:ascii="楷体" w:hAnsi="楷体" w:eastAsia="楷体" w:cs="楷体"/>
          <w:b/>
          <w:bCs/>
          <w:color w:val="auto"/>
          <w:kern w:val="2"/>
          <w:sz w:val="32"/>
          <w:szCs w:val="24"/>
          <w:lang w:val="en-US" w:eastAsia="zh-CN" w:bidi="ar-SA"/>
        </w:rPr>
        <w:t>（一）广泛组织动员，助力乡村振兴。</w:t>
      </w:r>
      <w:r>
        <w:rPr>
          <w:rFonts w:hint="eastAsia" w:ascii="仿宋_GB2312" w:hAnsi="仿宋_GB2312" w:eastAsia="仿宋_GB2312" w:cs="仿宋_GB2312"/>
          <w:b/>
          <w:bCs w:val="0"/>
          <w:color w:val="auto"/>
          <w:kern w:val="0"/>
          <w:sz w:val="32"/>
          <w:szCs w:val="24"/>
          <w:lang w:val="en-US" w:eastAsia="zh-CN" w:bidi="ar-SA"/>
        </w:rPr>
        <w:t>一是深入实施“青春助农”行动。</w:t>
      </w:r>
      <w:r>
        <w:rPr>
          <w:rFonts w:hint="eastAsia" w:ascii="仿宋_GB2312" w:hAnsi="仿宋_GB2312" w:eastAsia="仿宋_GB2312" w:cs="仿宋_GB2312"/>
          <w:b w:val="0"/>
          <w:bCs/>
          <w:color w:val="auto"/>
          <w:kern w:val="0"/>
          <w:sz w:val="32"/>
          <w:szCs w:val="24"/>
          <w:lang w:val="en-US" w:eastAsia="zh-CN" w:bidi="ar-SA"/>
        </w:rPr>
        <w:t>持续发挥共青团组织动员和社会化动员能力，统筹各级团组织力量，围绕村容村貌、乡风文明、文化惠民、健康医疗等重点内容，加大服务工作力度。开展“送医疗下乡 助乡村振兴”义诊志愿服务活动、“金融服务大普惠 青春闪光振乡村”送金融服务下乡等活动，为农民群众提供专业医疗和金融服务。</w:t>
      </w:r>
      <w:r>
        <w:rPr>
          <w:rFonts w:hint="eastAsia" w:ascii="仿宋_GB2312" w:hAnsi="仿宋_GB2312" w:eastAsia="仿宋_GB2312" w:cs="仿宋_GB2312"/>
          <w:b/>
          <w:bCs w:val="0"/>
          <w:color w:val="auto"/>
          <w:kern w:val="0"/>
          <w:sz w:val="32"/>
          <w:szCs w:val="24"/>
          <w:lang w:val="en-US" w:eastAsia="zh-CN" w:bidi="ar-SA"/>
        </w:rPr>
        <w:t>二是深入实施“青春志愿”行动。</w:t>
      </w:r>
      <w:r>
        <w:rPr>
          <w:rFonts w:hint="eastAsia" w:ascii="仿宋_GB2312" w:hAnsi="仿宋_GB2312" w:eastAsia="仿宋_GB2312" w:cs="仿宋_GB2312"/>
          <w:b w:val="0"/>
          <w:bCs/>
          <w:color w:val="auto"/>
          <w:kern w:val="0"/>
          <w:sz w:val="32"/>
          <w:szCs w:val="24"/>
          <w:lang w:val="en-US" w:eastAsia="zh-CN" w:bidi="ar-SA"/>
        </w:rPr>
        <w:t>广泛开展</w:t>
      </w:r>
      <w:r>
        <w:rPr>
          <w:rFonts w:hint="eastAsia" w:ascii="仿宋_GB2312" w:hAnsi="仿宋_GB2312" w:eastAsia="仿宋_GB2312" w:cs="仿宋_GB2312"/>
          <w:b w:val="0"/>
          <w:bCs/>
          <w:color w:val="auto"/>
          <w:kern w:val="0"/>
          <w:sz w:val="32"/>
          <w:szCs w:val="24"/>
          <w:lang w:val="en" w:eastAsia="zh-CN" w:bidi="ar-SA"/>
        </w:rPr>
        <w:t>“返家乡”社会实践，建立在外高校学子与家乡团组织联系的制度化渠道。</w:t>
      </w:r>
      <w:r>
        <w:rPr>
          <w:rFonts w:hint="eastAsia" w:ascii="仿宋_GB2312" w:hAnsi="仿宋_GB2312" w:eastAsia="仿宋_GB2312" w:cs="仿宋_GB2312"/>
          <w:b w:val="0"/>
          <w:bCs/>
          <w:color w:val="auto"/>
          <w:kern w:val="0"/>
          <w:sz w:val="32"/>
          <w:szCs w:val="24"/>
          <w:lang w:val="en-US" w:eastAsia="zh-CN" w:bidi="ar-SA"/>
        </w:rPr>
        <w:t>充分发挥各县区“青年创业联盟”组织作用，通过专题培训、座谈交流等形式，凝聚一批青年创新创业支持家乡建设。持续在全市开展“冀青云·易展翅”河北省青年就业启航行动、2020年度“小青虎”项目和“千校万岗”大学生就业服务行动，面向困难学生群体开展就业精准帮扶，提升就业能力。</w:t>
      </w:r>
      <w:r>
        <w:rPr>
          <w:rFonts w:hint="eastAsia" w:ascii="仿宋_GB2312" w:hAnsi="仿宋_GB2312" w:eastAsia="仿宋_GB2312" w:cs="仿宋_GB2312"/>
          <w:b/>
          <w:bCs w:val="0"/>
          <w:color w:val="auto"/>
          <w:kern w:val="0"/>
          <w:sz w:val="32"/>
          <w:szCs w:val="24"/>
          <w:lang w:val="en-US" w:eastAsia="zh-CN" w:bidi="ar-SA"/>
        </w:rPr>
        <w:t>三是深入实施“青春帮扶”行动。</w:t>
      </w:r>
      <w:r>
        <w:rPr>
          <w:rFonts w:hint="eastAsia" w:ascii="仿宋_GB2312" w:hAnsi="仿宋_GB2312" w:eastAsia="仿宋_GB2312" w:cs="仿宋_GB2312"/>
          <w:b w:val="0"/>
          <w:bCs/>
          <w:color w:val="auto"/>
          <w:kern w:val="0"/>
          <w:sz w:val="32"/>
          <w:szCs w:val="24"/>
          <w:lang w:val="en-US" w:eastAsia="zh-CN" w:bidi="ar-SA"/>
        </w:rPr>
        <w:t>发挥“童心港湾”“</w:t>
      </w:r>
      <w:r>
        <w:rPr>
          <w:rFonts w:hint="eastAsia" w:ascii="仿宋_GB2312" w:hAnsi="仿宋_GB2312" w:eastAsia="仿宋_GB2312" w:cs="仿宋_GB2312"/>
          <w:b w:val="0"/>
          <w:i w:val="0"/>
          <w:snapToGrid/>
          <w:color w:val="auto"/>
          <w:kern w:val="2"/>
          <w:sz w:val="32"/>
          <w:szCs w:val="32"/>
          <w:lang w:val="en-US" w:eastAsia="zh-CN" w:bidi="ar-SA"/>
        </w:rPr>
        <w:t>亲情小屋”作用，持续开展关爱农村留守儿童行动。开展“京津冀城乡手拉手”微心愿圆梦活动，为家庭相对困难的孩子送去价值1.5万元的书包、文具等物资。本着“助学育人”的目标，积极对接省、中青会等项目，</w:t>
      </w:r>
      <w:r>
        <w:rPr>
          <w:rFonts w:hint="eastAsia" w:ascii="仿宋_GB2312" w:hAnsi="仿宋_GB2312" w:eastAsia="仿宋_GB2312" w:cs="仿宋_GB2312"/>
          <w:color w:val="auto"/>
          <w:sz w:val="32"/>
          <w:szCs w:val="32"/>
        </w:rPr>
        <w:t>累计筹集物资合计537.3万元，援建希望厨房10所、快乐体育项目7所、阿斯达斯足球场1处，快乐美术室1所，为671名家庭困难学生发放助学金137万，开展爱心公益活动88场，惠及青少年39067人。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b w:val="0"/>
          <w:i w:val="0"/>
          <w:snapToGrid/>
          <w:color w:val="auto"/>
          <w:kern w:val="2"/>
          <w:sz w:val="32"/>
          <w:szCs w:val="32"/>
          <w:lang w:val="en-US" w:eastAsia="zh-CN" w:bidi="ar-SA"/>
        </w:rPr>
      </w:pPr>
      <w:r>
        <w:rPr>
          <w:rStyle w:val="11"/>
          <w:rFonts w:hint="eastAsia" w:ascii="楷体_GB2312" w:hAnsi="楷体_GB2312" w:eastAsia="楷体_GB2312" w:cs="楷体_GB2312"/>
          <w:b/>
          <w:bCs w:val="0"/>
          <w:color w:val="auto"/>
          <w:sz w:val="32"/>
          <w:szCs w:val="32"/>
          <w:lang w:val="en-US" w:eastAsia="zh-CN"/>
        </w:rPr>
        <w:t>（二）践行绿色发展理念，助力首都两区建设。</w:t>
      </w:r>
      <w:r>
        <w:rPr>
          <w:rFonts w:hint="eastAsia" w:ascii="仿宋_GB2312" w:hAnsi="仿宋_GB2312" w:eastAsia="仿宋_GB2312" w:cs="仿宋_GB2312"/>
          <w:b/>
          <w:bCs/>
          <w:i w:val="0"/>
          <w:snapToGrid/>
          <w:color w:val="auto"/>
          <w:kern w:val="2"/>
          <w:sz w:val="32"/>
          <w:szCs w:val="32"/>
          <w:lang w:val="en-US" w:eastAsia="zh-CN" w:bidi="ar-SA"/>
        </w:rPr>
        <w:t>一是开展环保宣传。</w:t>
      </w:r>
      <w:r>
        <w:rPr>
          <w:rFonts w:hint="eastAsia" w:ascii="仿宋_GB2312" w:hAnsi="仿宋_GB2312" w:eastAsia="仿宋_GB2312" w:cs="仿宋_GB2312"/>
          <w:b w:val="0"/>
          <w:i w:val="0"/>
          <w:snapToGrid/>
          <w:color w:val="auto"/>
          <w:kern w:val="2"/>
          <w:sz w:val="32"/>
          <w:szCs w:val="32"/>
          <w:lang w:val="en-US" w:eastAsia="zh-CN" w:bidi="ar-SA"/>
        </w:rPr>
        <w:t>依托各级团组织、公益组织，开发环保宣传产品，常态化开展环保宣传进机关、进社区、进乡村、进学校、进企业、进网络，引导广大团员青年牢固树立“绿水青山就是金山银山”理念。</w:t>
      </w:r>
      <w:r>
        <w:rPr>
          <w:rFonts w:hint="eastAsia" w:ascii="仿宋_GB2312" w:hAnsi="仿宋_GB2312" w:eastAsia="仿宋_GB2312" w:cs="仿宋_GB2312"/>
          <w:b/>
          <w:bCs/>
          <w:i w:val="0"/>
          <w:snapToGrid/>
          <w:color w:val="auto"/>
          <w:kern w:val="2"/>
          <w:sz w:val="32"/>
          <w:szCs w:val="32"/>
          <w:lang w:val="en-US" w:eastAsia="zh-CN" w:bidi="ar-SA"/>
        </w:rPr>
        <w:t>二是参与植树造林。</w:t>
      </w:r>
      <w:r>
        <w:rPr>
          <w:rFonts w:hint="eastAsia" w:ascii="仿宋_GB2312" w:hAnsi="仿宋_GB2312" w:eastAsia="仿宋_GB2312" w:cs="仿宋_GB2312"/>
          <w:b w:val="0"/>
          <w:i w:val="0"/>
          <w:snapToGrid/>
          <w:color w:val="auto"/>
          <w:kern w:val="2"/>
          <w:sz w:val="32"/>
          <w:szCs w:val="32"/>
          <w:lang w:val="en-US" w:eastAsia="zh-CN" w:bidi="ar-SA"/>
        </w:rPr>
        <w:t>通过认养认建、众筹植树、义务植树等方式，组织广大团员青年参与植树造林、共建美丽家园。</w:t>
      </w:r>
      <w:r>
        <w:rPr>
          <w:rFonts w:hint="eastAsia" w:ascii="仿宋_GB2312" w:hAnsi="仿宋_GB2312" w:eastAsia="仿宋_GB2312" w:cs="仿宋_GB2312"/>
          <w:b/>
          <w:bCs/>
          <w:i w:val="0"/>
          <w:snapToGrid/>
          <w:color w:val="auto"/>
          <w:kern w:val="2"/>
          <w:sz w:val="32"/>
          <w:szCs w:val="32"/>
          <w:lang w:val="en-US" w:eastAsia="zh-CN" w:bidi="ar-SA"/>
        </w:rPr>
        <w:t>三是践行环保理念。</w:t>
      </w:r>
      <w:r>
        <w:rPr>
          <w:rFonts w:hint="eastAsia" w:ascii="仿宋_GB2312" w:hAnsi="仿宋_GB2312" w:eastAsia="仿宋_GB2312" w:cs="仿宋_GB2312"/>
          <w:b w:val="0"/>
          <w:i w:val="0"/>
          <w:snapToGrid/>
          <w:color w:val="auto"/>
          <w:kern w:val="2"/>
          <w:sz w:val="32"/>
          <w:szCs w:val="32"/>
          <w:lang w:val="en-US" w:eastAsia="zh-CN" w:bidi="ar-SA"/>
        </w:rPr>
        <w:t>引导广大团员青年广泛参与“保护母亲河”“光盘行动”“垃圾分类”“绿色出行”等丰富多彩的环保实践活动，引领环保新风尚。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color w:val="auto"/>
          <w:sz w:val="32"/>
          <w:lang w:val="en-US" w:eastAsia="zh-CN"/>
        </w:rPr>
      </w:pPr>
      <w:r>
        <w:rPr>
          <w:rStyle w:val="11"/>
          <w:rFonts w:hint="eastAsia" w:ascii="楷体_GB2312" w:hAnsi="楷体_GB2312" w:eastAsia="楷体_GB2312" w:cs="楷体_GB2312"/>
          <w:b/>
          <w:bCs w:val="0"/>
          <w:color w:val="auto"/>
          <w:sz w:val="32"/>
          <w:szCs w:val="32"/>
          <w:lang w:val="en-US" w:eastAsia="zh-CN"/>
        </w:rPr>
        <w:t>（三）积极参与全国文明城市创建。</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bCs/>
          <w:color w:val="auto"/>
          <w:sz w:val="32"/>
          <w:szCs w:val="32"/>
        </w:rPr>
        <w:t>履行牵头职责，做好统筹推动。</w:t>
      </w:r>
      <w:r>
        <w:rPr>
          <w:rFonts w:hint="eastAsia" w:ascii="仿宋_GB2312" w:hAnsi="仿宋_GB2312" w:eastAsia="仿宋_GB2312" w:cs="仿宋_GB2312"/>
          <w:color w:val="auto"/>
          <w:sz w:val="32"/>
          <w:lang w:val="en-US" w:eastAsia="zh-CN"/>
        </w:rPr>
        <w:t>明确任务分工，依据《全国文明城市测评体系和操作手册（2021年版）》及每月重点工作任务，进一步明确工作任务、细化工作举措、压实工作责任。严格考核督导，建立“周</w:t>
      </w:r>
      <w:r>
        <w:rPr>
          <w:rFonts w:hint="eastAsia" w:ascii="仿宋_GB2312" w:hAnsi="仿宋_GB2312" w:eastAsia="仿宋_GB2312" w:cs="仿宋_GB2312"/>
          <w:bCs/>
          <w:color w:val="auto"/>
          <w:sz w:val="32"/>
          <w:szCs w:val="32"/>
        </w:rPr>
        <w:t>报告、月总结、月评价”机制，适时掌握工作动态，督导督促活动开展，建立志愿服务工作部联络群，经常性沟通解决工作推进中出现的问题困难，确保志愿服务各项任务落实落地</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bCs/>
          <w:color w:val="auto"/>
          <w:sz w:val="32"/>
          <w:szCs w:val="32"/>
        </w:rPr>
        <w:t>推动常态开展，引领文明风尚。</w:t>
      </w:r>
      <w:r>
        <w:rPr>
          <w:rFonts w:hint="eastAsia" w:ascii="仿宋_GB2312" w:hAnsi="仿宋_GB2312" w:eastAsia="仿宋_GB2312" w:cs="仿宋_GB2312"/>
          <w:color w:val="auto"/>
          <w:sz w:val="32"/>
          <w:lang w:val="en-US" w:eastAsia="zh-CN"/>
        </w:rPr>
        <w:t>常态化组织开展文明宣传“十二进”、冰雪运动宣传、张家口历史文化推介、“六个关爱”等志愿服务，号召全员组织开展城市志愿服务集中行动，引导广大市民提升文明素质，营造浓厚的志愿服务氛围。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三、发挥职能优势，</w:t>
      </w:r>
      <w:r>
        <w:rPr>
          <w:rFonts w:hint="eastAsia" w:ascii="黑体" w:hAnsi="黑体" w:eastAsia="黑体" w:cs="黑体"/>
          <w:b w:val="0"/>
          <w:bCs w:val="0"/>
          <w:color w:val="auto"/>
          <w:sz w:val="32"/>
          <w:szCs w:val="32"/>
        </w:rPr>
        <w:t>服务青少年</w:t>
      </w:r>
      <w:r>
        <w:rPr>
          <w:rFonts w:hint="eastAsia" w:ascii="黑体" w:hAnsi="黑体" w:eastAsia="黑体" w:cs="黑体"/>
          <w:b w:val="0"/>
          <w:bCs w:val="0"/>
          <w:color w:val="auto"/>
          <w:sz w:val="32"/>
          <w:szCs w:val="32"/>
          <w:lang w:eastAsia="zh-CN"/>
        </w:rPr>
        <w:t>发展需求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紧紧围绕党政关心、社会关注、青年关切的热点、难点、痛点问题，精准发力，久久为功，密切关注青年思想观念、发展需求的变化，提升服务水平、拓展服务内涵，不断巩固和扩大党执政的青年群众基础。</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宋体" w:eastAsia="仿宋_GB2312" w:cs="Courier New"/>
          <w:b w:val="0"/>
          <w:bCs/>
          <w:color w:val="auto"/>
          <w:kern w:val="2"/>
          <w:sz w:val="32"/>
          <w:szCs w:val="32"/>
          <w:lang w:val="en" w:eastAsia="zh-CN" w:bidi="ar-SA"/>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一</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推动落实中长期青年发展规划。</w:t>
      </w:r>
      <w:r>
        <w:rPr>
          <w:rFonts w:hint="eastAsia" w:ascii="仿宋_GB2312" w:hAnsi="仿宋_GB2312" w:eastAsia="仿宋_GB2312" w:cs="仿宋_GB2312"/>
          <w:b w:val="0"/>
          <w:bCs/>
          <w:color w:val="auto"/>
          <w:kern w:val="2"/>
          <w:sz w:val="32"/>
          <w:szCs w:val="32"/>
          <w:lang w:val="en" w:eastAsia="zh-CN" w:bidi="ar-SA"/>
        </w:rPr>
        <w:t>推</w:t>
      </w:r>
      <w:r>
        <w:rPr>
          <w:rFonts w:hint="eastAsia" w:ascii="仿宋_GB2312" w:hAnsi="宋体" w:eastAsia="仿宋_GB2312" w:cs="Courier New"/>
          <w:b w:val="0"/>
          <w:bCs/>
          <w:color w:val="auto"/>
          <w:kern w:val="2"/>
          <w:sz w:val="32"/>
          <w:szCs w:val="32"/>
          <w:lang w:val="en" w:eastAsia="zh-CN" w:bidi="ar-SA"/>
        </w:rPr>
        <w:t>动市县两级组织召开青少年工作联席会议第三次全体会议和联络员会议，制定并印发《2021年度重点工作任务》，协调各成员单位扎实推进各项任务落实，累计出台惠及青少年的政策或项目</w:t>
      </w:r>
      <w:r>
        <w:rPr>
          <w:rFonts w:hint="eastAsia" w:ascii="仿宋_GB2312" w:hAnsi="宋体" w:eastAsia="仿宋_GB2312" w:cs="Courier New"/>
          <w:b w:val="0"/>
          <w:bCs/>
          <w:color w:val="auto"/>
          <w:kern w:val="2"/>
          <w:sz w:val="32"/>
          <w:szCs w:val="32"/>
          <w:lang w:val="en-US" w:eastAsia="zh-CN" w:bidi="ar-SA"/>
        </w:rPr>
        <w:t>17</w:t>
      </w:r>
      <w:r>
        <w:rPr>
          <w:rFonts w:hint="eastAsia" w:ascii="仿宋_GB2312" w:hAnsi="宋体" w:eastAsia="仿宋_GB2312" w:cs="Courier New"/>
          <w:b w:val="0"/>
          <w:bCs/>
          <w:color w:val="auto"/>
          <w:kern w:val="2"/>
          <w:sz w:val="32"/>
          <w:szCs w:val="32"/>
          <w:lang w:val="en" w:eastAsia="zh-CN" w:bidi="ar-SA"/>
        </w:rPr>
        <w:t>个；在全省率先组建贯彻落实《河北省中长期青年发展规（2018-2025年）》专项工作组，率先推进《习近平总书记关于青年工作的重要思想》在本地党校开课，不断完善联席会议工作机制；召开落实中长期青年发展规划县区工作推进会，在省内率先</w:t>
      </w:r>
      <w:r>
        <w:rPr>
          <w:rFonts w:hint="eastAsia" w:ascii="仿宋_GB2312" w:eastAsia="仿宋_GB2312" w:cs="Courier New"/>
          <w:b w:val="0"/>
          <w:bCs/>
          <w:color w:val="auto"/>
          <w:kern w:val="2"/>
          <w:sz w:val="32"/>
          <w:szCs w:val="32"/>
          <w:lang w:val="en-US" w:eastAsia="zh-CN" w:bidi="ar-SA"/>
        </w:rPr>
        <w:t>举办</w:t>
      </w:r>
      <w:r>
        <w:rPr>
          <w:rFonts w:hint="eastAsia" w:ascii="仿宋_GB2312" w:hAnsi="宋体" w:eastAsia="仿宋_GB2312" w:cs="Courier New"/>
          <w:b w:val="0"/>
          <w:bCs/>
          <w:color w:val="auto"/>
          <w:kern w:val="2"/>
          <w:sz w:val="32"/>
          <w:szCs w:val="32"/>
          <w:lang w:val="en" w:eastAsia="zh-CN" w:bidi="ar-SA"/>
        </w:rPr>
        <w:t>地市级</w:t>
      </w:r>
      <w:r>
        <w:rPr>
          <w:rFonts w:hint="eastAsia" w:ascii="仿宋_GB2312" w:eastAsia="仿宋_GB2312" w:cs="Courier New"/>
          <w:b w:val="0"/>
          <w:bCs/>
          <w:color w:val="auto"/>
          <w:kern w:val="2"/>
          <w:sz w:val="32"/>
          <w:szCs w:val="32"/>
          <w:lang w:val="en-US" w:eastAsia="zh-CN" w:bidi="ar-SA"/>
        </w:rPr>
        <w:t>河北省中长期青年发展规划专题培训班，</w:t>
      </w:r>
      <w:r>
        <w:rPr>
          <w:rFonts w:hint="eastAsia" w:ascii="仿宋_GB2312" w:hAnsi="宋体" w:eastAsia="仿宋_GB2312" w:cs="Courier New"/>
          <w:b w:val="0"/>
          <w:bCs/>
          <w:color w:val="auto"/>
          <w:kern w:val="2"/>
          <w:sz w:val="32"/>
          <w:szCs w:val="32"/>
          <w:lang w:val="en" w:eastAsia="zh-CN" w:bidi="ar-SA"/>
        </w:rPr>
        <w:t>开展2021年度“夺旗争星”量化评价，完成全市辖区所有县区督导评价，推动县区工作落实。</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b w:val="0"/>
          <w:i w:val="0"/>
          <w:snapToGrid/>
          <w:color w:val="auto"/>
          <w:sz w:val="32"/>
          <w:szCs w:val="32"/>
          <w:lang w:eastAsia="zh-CN"/>
        </w:rPr>
      </w:pPr>
      <w:r>
        <w:rPr>
          <w:rFonts w:hint="eastAsia" w:ascii="楷体_GB2312" w:hAnsi="仿宋" w:eastAsia="楷体_GB2312" w:cs="楷体_GB2312"/>
          <w:b/>
          <w:bCs/>
          <w:color w:val="auto"/>
          <w:sz w:val="32"/>
          <w:szCs w:val="32"/>
          <w:lang w:val="en-US" w:eastAsia="zh-CN"/>
        </w:rPr>
        <w:t>（二）服</w:t>
      </w:r>
      <w:r>
        <w:rPr>
          <w:rFonts w:hint="eastAsia" w:ascii="楷体_GB2312" w:hAnsi="仿宋" w:eastAsia="楷体_GB2312" w:cs="楷体_GB2312"/>
          <w:b/>
          <w:bCs/>
          <w:color w:val="auto"/>
          <w:sz w:val="32"/>
          <w:szCs w:val="32"/>
        </w:rPr>
        <w:t>务青年婚恋交友。</w:t>
      </w:r>
      <w:r>
        <w:rPr>
          <w:rFonts w:hint="eastAsia" w:ascii="仿宋_GB2312" w:hAnsi="仿宋_GB2312" w:eastAsia="仿宋_GB2312" w:cs="仿宋_GB2312"/>
          <w:b w:val="0"/>
          <w:i w:val="0"/>
          <w:snapToGrid/>
          <w:color w:val="auto"/>
          <w:sz w:val="32"/>
          <w:szCs w:val="32"/>
          <w:lang w:eastAsia="zh-CN"/>
        </w:rPr>
        <w:t>团市委充分发挥共青团服务青年的职能，起草下发《三生石婚恋交友工作实施方案》，组织开展“520遇见</w:t>
      </w:r>
      <w:r>
        <w:rPr>
          <w:rFonts w:hint="eastAsia" w:ascii="仿宋_GB2312" w:hAnsi="宋体" w:eastAsia="仿宋_GB2312" w:cs="Courier New"/>
          <w:b w:val="0"/>
          <w:bCs/>
          <w:color w:val="auto"/>
          <w:kern w:val="2"/>
          <w:sz w:val="32"/>
          <w:szCs w:val="32"/>
          <w:lang w:val="en" w:eastAsia="zh-CN" w:bidi="ar-SA"/>
        </w:rPr>
        <w:t>爱”、</w:t>
      </w:r>
      <w:r>
        <w:rPr>
          <w:rFonts w:hint="eastAsia" w:ascii="仿宋_GB2312" w:eastAsia="仿宋_GB2312" w:cs="Courier New"/>
          <w:b w:val="0"/>
          <w:bCs/>
          <w:color w:val="auto"/>
          <w:kern w:val="2"/>
          <w:sz w:val="32"/>
          <w:szCs w:val="32"/>
          <w:lang w:val="en" w:eastAsia="zh-CN" w:bidi="ar-SA"/>
        </w:rPr>
        <w:t>“</w:t>
      </w:r>
      <w:r>
        <w:rPr>
          <w:rFonts w:hint="eastAsia" w:ascii="仿宋_GB2312" w:eastAsia="仿宋_GB2312" w:cs="Courier New"/>
          <w:b w:val="0"/>
          <w:bCs/>
          <w:color w:val="auto"/>
          <w:kern w:val="2"/>
          <w:sz w:val="32"/>
          <w:szCs w:val="32"/>
          <w:lang w:val="en-US" w:eastAsia="zh-CN" w:bidi="ar-SA"/>
        </w:rPr>
        <w:t>鹊桥仙</w:t>
      </w:r>
      <w:r>
        <w:rPr>
          <w:rFonts w:hint="eastAsia" w:ascii="仿宋_GB2312" w:hAnsi="宋体" w:eastAsia="仿宋_GB2312" w:cs="Courier New"/>
          <w:b w:val="0"/>
          <w:bCs/>
          <w:color w:val="auto"/>
          <w:kern w:val="2"/>
          <w:sz w:val="32"/>
          <w:szCs w:val="32"/>
          <w:lang w:val="en" w:eastAsia="zh-CN" w:bidi="ar-SA"/>
        </w:rPr>
        <w:t>·</w:t>
      </w:r>
      <w:r>
        <w:rPr>
          <w:rFonts w:hint="eastAsia" w:ascii="仿宋_GB2312" w:eastAsia="仿宋_GB2312" w:cs="Courier New"/>
          <w:b w:val="0"/>
          <w:bCs/>
          <w:color w:val="auto"/>
          <w:kern w:val="2"/>
          <w:sz w:val="32"/>
          <w:szCs w:val="32"/>
          <w:lang w:val="en-US" w:eastAsia="zh-CN" w:bidi="ar-SA"/>
        </w:rPr>
        <w:t>七夕</w:t>
      </w:r>
      <w:r>
        <w:rPr>
          <w:rFonts w:hint="eastAsia" w:ascii="仿宋_GB2312" w:eastAsia="仿宋_GB2312" w:cs="Courier New"/>
          <w:b w:val="0"/>
          <w:bCs/>
          <w:color w:val="auto"/>
          <w:kern w:val="2"/>
          <w:sz w:val="32"/>
          <w:szCs w:val="32"/>
          <w:lang w:val="en" w:eastAsia="zh-CN" w:bidi="ar-SA"/>
        </w:rPr>
        <w:t>”</w:t>
      </w:r>
      <w:r>
        <w:rPr>
          <w:rFonts w:hint="eastAsia" w:ascii="仿宋_GB2312" w:eastAsia="仿宋_GB2312" w:cs="Courier New"/>
          <w:b w:val="0"/>
          <w:bCs/>
          <w:color w:val="auto"/>
          <w:kern w:val="2"/>
          <w:sz w:val="32"/>
          <w:szCs w:val="32"/>
          <w:lang w:val="en-US" w:eastAsia="zh-CN" w:bidi="ar-SA"/>
        </w:rPr>
        <w:t>线上交友、</w:t>
      </w:r>
      <w:r>
        <w:rPr>
          <w:rFonts w:hint="eastAsia" w:ascii="仿宋_GB2312" w:hAnsi="宋体" w:eastAsia="仿宋_GB2312" w:cs="Courier New"/>
          <w:b w:val="0"/>
          <w:bCs/>
          <w:color w:val="auto"/>
          <w:kern w:val="2"/>
          <w:sz w:val="32"/>
          <w:szCs w:val="32"/>
          <w:lang w:val="en" w:eastAsia="zh-CN" w:bidi="ar-SA"/>
        </w:rPr>
        <w:t>“缘定三生·缘来是你”大龄单身青年相亲交友联谊等活动，</w:t>
      </w:r>
      <w:r>
        <w:rPr>
          <w:rFonts w:hint="eastAsia" w:ascii="仿宋_GB2312" w:hAnsi="宋体" w:eastAsia="仿宋_GB2312" w:cs="Courier New"/>
          <w:b w:val="0"/>
          <w:bCs/>
          <w:color w:val="auto"/>
          <w:kern w:val="2"/>
          <w:sz w:val="32"/>
          <w:szCs w:val="32"/>
          <w:lang w:val="en-US" w:eastAsia="zh-CN" w:bidi="ar-SA"/>
        </w:rPr>
        <w:t>覆盖青年</w:t>
      </w:r>
      <w:r>
        <w:rPr>
          <w:rFonts w:hint="eastAsia" w:ascii="仿宋_GB2312" w:eastAsia="仿宋_GB2312" w:cs="Courier New"/>
          <w:b w:val="0"/>
          <w:bCs/>
          <w:color w:val="auto"/>
          <w:kern w:val="2"/>
          <w:sz w:val="32"/>
          <w:szCs w:val="32"/>
          <w:lang w:val="en-US" w:eastAsia="zh-CN" w:bidi="ar-SA"/>
        </w:rPr>
        <w:t>300</w:t>
      </w:r>
      <w:r>
        <w:rPr>
          <w:rFonts w:hint="eastAsia" w:ascii="仿宋_GB2312" w:hAnsi="宋体" w:eastAsia="仿宋_GB2312" w:cs="Courier New"/>
          <w:b w:val="0"/>
          <w:bCs/>
          <w:color w:val="auto"/>
          <w:kern w:val="2"/>
          <w:sz w:val="32"/>
          <w:szCs w:val="32"/>
          <w:lang w:val="en-US" w:eastAsia="zh-CN" w:bidi="ar-SA"/>
        </w:rPr>
        <w:t>余人，</w:t>
      </w:r>
      <w:r>
        <w:rPr>
          <w:rFonts w:hint="eastAsia" w:ascii="仿宋_GB2312" w:hAnsi="宋体" w:eastAsia="仿宋_GB2312" w:cs="Courier New"/>
          <w:b w:val="0"/>
          <w:bCs/>
          <w:color w:val="auto"/>
          <w:kern w:val="2"/>
          <w:sz w:val="32"/>
          <w:szCs w:val="32"/>
          <w:lang w:val="en" w:eastAsia="zh-CN" w:bidi="ar-SA"/>
        </w:rPr>
        <w:t>进一步促进</w:t>
      </w:r>
      <w:r>
        <w:rPr>
          <w:rFonts w:hint="eastAsia" w:ascii="仿宋_GB2312" w:hAnsi="仿宋_GB2312" w:eastAsia="仿宋_GB2312" w:cs="仿宋_GB2312"/>
          <w:b w:val="0"/>
          <w:i w:val="0"/>
          <w:snapToGrid/>
          <w:color w:val="auto"/>
          <w:sz w:val="32"/>
          <w:szCs w:val="32"/>
          <w:lang w:eastAsia="zh-CN"/>
        </w:rPr>
        <w:t>广大青年互动与交流，引导青年树立正确婚恋观、价值观。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Style w:val="11"/>
          <w:rFonts w:hint="eastAsia" w:ascii="黑体" w:hAnsi="黑体" w:eastAsia="黑体" w:cs="黑体"/>
          <w:b w:val="0"/>
          <w:bCs/>
          <w:color w:val="auto"/>
          <w:sz w:val="32"/>
          <w:szCs w:val="32"/>
          <w:lang w:val="en-US"/>
        </w:rPr>
      </w:pPr>
      <w:r>
        <w:rPr>
          <w:rStyle w:val="11"/>
          <w:rFonts w:hint="eastAsia" w:ascii="黑体" w:hAnsi="黑体" w:eastAsia="黑体" w:cs="黑体"/>
          <w:b w:val="0"/>
          <w:bCs/>
          <w:color w:val="auto"/>
          <w:sz w:val="32"/>
          <w:szCs w:val="32"/>
          <w:lang w:val="en-US"/>
        </w:rPr>
        <w:t>四、坚持党建带团建，</w:t>
      </w:r>
      <w:r>
        <w:rPr>
          <w:rStyle w:val="11"/>
          <w:rFonts w:hint="eastAsia" w:ascii="黑体" w:hAnsi="黑体" w:eastAsia="黑体" w:cs="黑体"/>
          <w:b w:val="0"/>
          <w:bCs/>
          <w:color w:val="auto"/>
          <w:sz w:val="32"/>
          <w:szCs w:val="32"/>
        </w:rPr>
        <w:t>持续深化</w:t>
      </w:r>
      <w:r>
        <w:rPr>
          <w:rStyle w:val="11"/>
          <w:rFonts w:hint="eastAsia" w:ascii="黑体" w:hAnsi="黑体" w:eastAsia="黑体" w:cs="黑体"/>
          <w:b w:val="0"/>
          <w:bCs/>
          <w:color w:val="auto"/>
          <w:sz w:val="32"/>
          <w:szCs w:val="32"/>
          <w:lang w:val="en-US"/>
        </w:rPr>
        <w:t>全面从严治团</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i w:val="0"/>
          <w:snapToGrid/>
          <w:color w:val="auto"/>
          <w:sz w:val="32"/>
          <w:szCs w:val="32"/>
          <w:lang w:val="en-US" w:eastAsia="zh-CN"/>
        </w:rPr>
      </w:pPr>
      <w:r>
        <w:rPr>
          <w:rFonts w:hint="eastAsia" w:ascii="仿宋_GB2312" w:hAnsi="仿宋_GB2312" w:eastAsia="仿宋_GB2312" w:cs="仿宋_GB2312"/>
          <w:b w:val="0"/>
          <w:i w:val="0"/>
          <w:snapToGrid/>
          <w:color w:val="auto"/>
          <w:sz w:val="32"/>
          <w:szCs w:val="32"/>
          <w:lang w:val="en-US" w:eastAsia="zh-CN"/>
        </w:rPr>
        <w:t>按照共青团改革工作安排，以政治上严、队伍建设严为抓手，扎实推进各项重点改革任务落实,推动全面从严治团向纵深发展，使共青团始终紧跟党走在时代前列、走在青年前列。</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b w:val="0"/>
          <w:color w:val="auto"/>
          <w:kern w:val="2"/>
          <w:sz w:val="32"/>
          <w:szCs w:val="24"/>
          <w:lang w:val="en-US" w:eastAsia="zh-CN" w:bidi="ar-SA"/>
        </w:rPr>
      </w:pPr>
      <w:r>
        <w:rPr>
          <w:rFonts w:hint="eastAsia" w:ascii="楷体_GB2312" w:hAnsi="楷体_GB2312" w:eastAsia="楷体_GB2312" w:cs="楷体_GB2312"/>
          <w:b/>
          <w:bCs/>
          <w:color w:val="auto"/>
          <w:kern w:val="2"/>
          <w:sz w:val="32"/>
          <w:szCs w:val="24"/>
          <w:lang w:val="en-US" w:eastAsia="zh-CN" w:bidi="ar-SA"/>
        </w:rPr>
        <w:t>（一）强化机关党建。</w:t>
      </w:r>
      <w:r>
        <w:rPr>
          <w:rFonts w:hint="eastAsia" w:ascii="仿宋_GB2312" w:hAnsi="仿宋_GB2312" w:eastAsia="仿宋_GB2312" w:cs="仿宋_GB2312"/>
          <w:b w:val="0"/>
          <w:color w:val="auto"/>
          <w:kern w:val="2"/>
          <w:sz w:val="32"/>
          <w:szCs w:val="24"/>
          <w:lang w:val="en-US" w:eastAsia="zh-CN" w:bidi="ar-SA"/>
        </w:rPr>
        <w:t>以政治建设为首位，以强化团干部学习教育为抓手，通过理论学习中心组（扩大）学习会议、举办学习总书记“七一”重要讲话精神专题培训班，召开党史学习教育专题组织生活会，深入学习宣传贯彻习近平总书记有关重要指示精神特别是“七一”重要讲话精神，不断提升各级团干部的政治素质和业务能力。强化团干部作风建设，严肃党内政治生活，认真落实中央八项规定，严格遵守和落实各项制度，制定完善的目标绩效考核办法，</w:t>
      </w:r>
      <w:r>
        <w:rPr>
          <w:rFonts w:hint="eastAsia" w:ascii="仿宋_GB2312" w:hAnsi="仿宋" w:eastAsia="仿宋_GB2312" w:cs="仿宋_GB2312"/>
          <w:sz w:val="32"/>
          <w:szCs w:val="32"/>
          <w:lang w:eastAsia="zh-CN"/>
        </w:rPr>
        <w:t>强化制度建设和执行，规范支部建设，</w:t>
      </w:r>
      <w:r>
        <w:rPr>
          <w:rFonts w:hint="eastAsia" w:ascii="仿宋_GB2312" w:hAnsi="仿宋" w:eastAsia="仿宋_GB2312" w:cs="仿宋_GB2312"/>
          <w:sz w:val="32"/>
          <w:szCs w:val="32"/>
          <w:lang w:val="en-US" w:eastAsia="zh-CN"/>
        </w:rPr>
        <w:t>加强</w:t>
      </w:r>
      <w:r>
        <w:rPr>
          <w:rFonts w:hint="eastAsia" w:ascii="仿宋_GB2312" w:hAnsi="仿宋" w:eastAsia="仿宋_GB2312" w:cs="仿宋_GB2312"/>
          <w:sz w:val="32"/>
          <w:szCs w:val="32"/>
          <w:lang w:eastAsia="zh-CN"/>
        </w:rPr>
        <w:t>党风廉政建设，</w:t>
      </w:r>
      <w:r>
        <w:rPr>
          <w:rFonts w:hint="eastAsia" w:ascii="仿宋_GB2312" w:hAnsi="仿宋_GB2312" w:eastAsia="仿宋_GB2312" w:cs="仿宋_GB2312"/>
          <w:b w:val="0"/>
          <w:color w:val="auto"/>
          <w:kern w:val="2"/>
          <w:sz w:val="32"/>
          <w:szCs w:val="24"/>
          <w:lang w:val="en-US" w:eastAsia="zh-CN" w:bidi="ar-SA"/>
        </w:rPr>
        <w:t>推动全面从严治团向纵深发展。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lang w:val="en-US" w:eastAsia="zh-CN"/>
        </w:rPr>
      </w:pPr>
      <w:r>
        <w:rPr>
          <w:rFonts w:hint="eastAsia" w:ascii="楷体_GB2312" w:hAnsi="楷体_GB2312" w:eastAsia="楷体_GB2312" w:cs="楷体_GB2312"/>
          <w:b/>
          <w:bCs/>
          <w:color w:val="auto"/>
          <w:sz w:val="32"/>
          <w:szCs w:val="32"/>
          <w:lang w:val="en-US" w:eastAsia="zh-CN"/>
        </w:rPr>
        <w:t>（二）加强团员先进性建设。</w:t>
      </w:r>
      <w:r>
        <w:rPr>
          <w:rFonts w:hint="eastAsia" w:ascii="仿宋_GB2312" w:hAnsi="宋体" w:eastAsia="仿宋_GB2312" w:cs="Courier New"/>
          <w:b w:val="0"/>
          <w:bCs/>
          <w:color w:val="auto"/>
          <w:kern w:val="2"/>
          <w:sz w:val="32"/>
          <w:szCs w:val="32"/>
          <w:lang w:val="en" w:eastAsia="zh-CN" w:bidi="ar-SA"/>
        </w:rPr>
        <w:t>规范团员发展，坚持政治标准首位，把好团员入口关，合理控制团学比，不断提升团员质量，202</w:t>
      </w:r>
      <w:r>
        <w:rPr>
          <w:rFonts w:hint="eastAsia" w:ascii="仿宋_GB2312" w:hAnsi="宋体" w:eastAsia="仿宋_GB2312" w:cs="Courier New"/>
          <w:b w:val="0"/>
          <w:bCs/>
          <w:color w:val="auto"/>
          <w:kern w:val="2"/>
          <w:sz w:val="32"/>
          <w:szCs w:val="32"/>
          <w:lang w:val="en-US" w:eastAsia="zh-CN" w:bidi="ar-SA"/>
        </w:rPr>
        <w:t>1</w:t>
      </w:r>
      <w:r>
        <w:rPr>
          <w:rFonts w:hint="eastAsia" w:ascii="仿宋_GB2312" w:hAnsi="宋体" w:eastAsia="仿宋_GB2312" w:cs="Courier New"/>
          <w:b w:val="0"/>
          <w:bCs/>
          <w:color w:val="auto"/>
          <w:kern w:val="2"/>
          <w:sz w:val="32"/>
          <w:szCs w:val="32"/>
          <w:lang w:val="en" w:eastAsia="zh-CN" w:bidi="ar-SA"/>
        </w:rPr>
        <w:t>年计划共发展团员</w:t>
      </w:r>
      <w:r>
        <w:rPr>
          <w:rFonts w:hint="eastAsia" w:ascii="仿宋_GB2312" w:hAnsi="宋体" w:eastAsia="仿宋_GB2312" w:cs="Courier New"/>
          <w:b w:val="0"/>
          <w:bCs/>
          <w:color w:val="auto"/>
          <w:kern w:val="2"/>
          <w:sz w:val="32"/>
          <w:szCs w:val="32"/>
          <w:lang w:val="en-US" w:eastAsia="zh-CN" w:bidi="ar-SA"/>
        </w:rPr>
        <w:t>6356</w:t>
      </w:r>
      <w:r>
        <w:rPr>
          <w:rFonts w:hint="eastAsia" w:ascii="仿宋_GB2312" w:hAnsi="宋体" w:eastAsia="仿宋_GB2312" w:cs="Courier New"/>
          <w:b w:val="0"/>
          <w:bCs/>
          <w:color w:val="auto"/>
          <w:kern w:val="2"/>
          <w:sz w:val="32"/>
          <w:szCs w:val="32"/>
          <w:lang w:val="en" w:eastAsia="zh-CN" w:bidi="ar-SA"/>
        </w:rPr>
        <w:t>人。依托“智慧团建”系统，做好新发展团员录入，团队、升学、学社衔接、团支部自检和后进团支部整改等工作，目前我市智慧团建系统已录入团员</w:t>
      </w:r>
      <w:r>
        <w:rPr>
          <w:rFonts w:hint="eastAsia" w:ascii="仿宋_GB2312" w:eastAsia="仿宋_GB2312" w:cs="Courier New"/>
          <w:b w:val="0"/>
          <w:bCs/>
          <w:color w:val="auto"/>
          <w:kern w:val="2"/>
          <w:sz w:val="32"/>
          <w:szCs w:val="32"/>
          <w:lang w:val="en-US" w:eastAsia="zh-CN" w:bidi="ar-SA"/>
        </w:rPr>
        <w:t>167900</w:t>
      </w:r>
      <w:r>
        <w:rPr>
          <w:rFonts w:hint="eastAsia" w:ascii="仿宋_GB2312" w:hAnsi="宋体" w:eastAsia="仿宋_GB2312" w:cs="Courier New"/>
          <w:b w:val="0"/>
          <w:bCs/>
          <w:color w:val="auto"/>
          <w:kern w:val="2"/>
          <w:sz w:val="32"/>
          <w:szCs w:val="32"/>
          <w:lang w:val="en" w:eastAsia="zh-CN" w:bidi="ar-SA"/>
        </w:rPr>
        <w:t>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b w:val="0"/>
          <w:i w:val="0"/>
          <w:snapToGrid/>
          <w:color w:val="auto"/>
          <w:sz w:val="32"/>
          <w:szCs w:val="32"/>
          <w:lang w:val="en-US" w:eastAsia="zh-CN"/>
        </w:rPr>
      </w:pPr>
      <w:r>
        <w:rPr>
          <w:rFonts w:hint="eastAsia" w:ascii="楷体_GB2312" w:hAnsi="楷体_GB2312" w:eastAsia="楷体_GB2312" w:cs="楷体_GB2312"/>
          <w:b/>
          <w:bCs/>
          <w:color w:val="auto"/>
          <w:kern w:val="2"/>
          <w:sz w:val="32"/>
          <w:szCs w:val="24"/>
          <w:lang w:val="en-US" w:eastAsia="zh-CN" w:bidi="ar-SA"/>
        </w:rPr>
        <w:t>（三）</w:t>
      </w:r>
      <w:r>
        <w:rPr>
          <w:rFonts w:hint="eastAsia" w:ascii="楷体" w:hAnsi="楷体" w:eastAsia="楷体" w:cs="楷体"/>
          <w:b/>
          <w:bCs w:val="0"/>
          <w:color w:val="auto"/>
          <w:kern w:val="2"/>
          <w:sz w:val="32"/>
          <w:szCs w:val="32"/>
          <w:lang w:val="en-US" w:eastAsia="zh-CN" w:bidi="ar-SA"/>
        </w:rPr>
        <w:t>推动基层组织改革纵深发展。</w:t>
      </w:r>
      <w:r>
        <w:rPr>
          <w:rFonts w:hint="eastAsia" w:ascii="仿宋_GB2312" w:hAnsi="仿宋_GB2312" w:eastAsia="仿宋_GB2312" w:cs="仿宋_GB2312"/>
          <w:b/>
          <w:bCs w:val="0"/>
          <w:color w:val="auto"/>
          <w:kern w:val="2"/>
          <w:sz w:val="32"/>
          <w:szCs w:val="32"/>
          <w:lang w:val="en-US" w:eastAsia="zh-CN" w:bidi="ar-SA"/>
        </w:rPr>
        <w:t>一是</w:t>
      </w:r>
      <w:r>
        <w:rPr>
          <w:rFonts w:hint="eastAsia" w:ascii="仿宋_GB2312" w:hAnsi="仿宋_GB2312" w:eastAsia="仿宋_GB2312" w:cs="仿宋_GB2312"/>
          <w:b w:val="0"/>
          <w:bCs/>
          <w:color w:val="auto"/>
          <w:sz w:val="32"/>
          <w:szCs w:val="32"/>
          <w:lang w:val="en-US" w:eastAsia="zh-CN"/>
        </w:rPr>
        <w:t>结合本地实际选取宣化区作为全市基层组织改革试点，指导</w:t>
      </w:r>
      <w:r>
        <w:rPr>
          <w:rFonts w:hint="eastAsia" w:ascii="仿宋_GB2312" w:hAnsi="仿宋_GB2312" w:eastAsia="仿宋_GB2312" w:cs="仿宋_GB2312"/>
          <w:b w:val="0"/>
          <w:bCs/>
          <w:color w:val="auto"/>
          <w:sz w:val="32"/>
          <w:szCs w:val="32"/>
        </w:rPr>
        <w:t>宣化团区委起草完成《宣化区共青团基层组织改革</w:t>
      </w:r>
      <w:r>
        <w:rPr>
          <w:rFonts w:hint="eastAsia" w:ascii="仿宋_GB2312" w:hAnsi="仿宋_GB2312" w:eastAsia="仿宋_GB2312" w:cs="仿宋_GB2312"/>
          <w:b w:val="0"/>
          <w:bCs/>
          <w:color w:val="auto"/>
          <w:sz w:val="32"/>
          <w:szCs w:val="32"/>
          <w:lang w:val="en-US" w:eastAsia="zh-CN"/>
        </w:rPr>
        <w:t>综合试点实施</w:t>
      </w:r>
      <w:r>
        <w:rPr>
          <w:rFonts w:hint="eastAsia" w:ascii="仿宋_GB2312" w:hAnsi="仿宋_GB2312" w:eastAsia="仿宋_GB2312" w:cs="仿宋_GB2312"/>
          <w:b w:val="0"/>
          <w:bCs/>
          <w:color w:val="auto"/>
          <w:sz w:val="32"/>
          <w:szCs w:val="32"/>
        </w:rPr>
        <w:t>方案》</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推动基层组织改革综合试点工作取得实效。</w:t>
      </w:r>
      <w:r>
        <w:rPr>
          <w:rFonts w:hint="eastAsia" w:ascii="仿宋_GB2312" w:hAnsi="仿宋_GB2312" w:eastAsia="仿宋_GB2312" w:cs="仿宋_GB2312"/>
          <w:b w:val="0"/>
          <w:bCs/>
          <w:color w:val="auto"/>
          <w:kern w:val="2"/>
          <w:sz w:val="32"/>
          <w:szCs w:val="32"/>
          <w:lang w:val="en" w:eastAsia="zh-CN" w:bidi="ar-SA"/>
        </w:rPr>
        <w:t>以基层</w:t>
      </w:r>
      <w:r>
        <w:rPr>
          <w:rFonts w:hint="eastAsia" w:ascii="仿宋_GB2312" w:hAnsi="仿宋_GB2312" w:eastAsia="仿宋_GB2312" w:cs="仿宋_GB2312"/>
          <w:b w:val="0"/>
          <w:bCs/>
          <w:color w:val="auto"/>
          <w:sz w:val="32"/>
          <w:szCs w:val="32"/>
          <w:lang w:val="en" w:eastAsia="zh-CN"/>
        </w:rPr>
        <w:t>团建、基础团务工作为重点内容，以县级团委、学校团委为单位，</w:t>
      </w:r>
      <w:r>
        <w:rPr>
          <w:rFonts w:hint="eastAsia" w:ascii="仿宋_GB2312" w:hAnsi="仿宋_GB2312" w:eastAsia="仿宋_GB2312" w:cs="仿宋_GB2312"/>
          <w:b w:val="0"/>
          <w:bCs/>
          <w:color w:val="auto"/>
          <w:sz w:val="32"/>
          <w:szCs w:val="32"/>
          <w:lang w:val="en-US" w:eastAsia="zh-CN"/>
        </w:rPr>
        <w:t>扎实推进基层团组织规范化建设，实现全市中学（中职）团校全覆盖。</w:t>
      </w:r>
      <w:r>
        <w:rPr>
          <w:rFonts w:hint="eastAsia" w:ascii="仿宋_GB2312" w:hAnsi="仿宋_GB2312" w:eastAsia="仿宋_GB2312" w:cs="仿宋_GB2312"/>
          <w:b/>
          <w:bCs w:val="0"/>
          <w:color w:val="auto"/>
          <w:sz w:val="32"/>
          <w:szCs w:val="32"/>
          <w:lang w:val="en-US" w:eastAsia="zh-CN"/>
        </w:rPr>
        <w:t>二是</w:t>
      </w:r>
      <w:r>
        <w:rPr>
          <w:rFonts w:hint="eastAsia" w:ascii="仿宋_GB2312" w:hAnsi="仿宋_GB2312" w:eastAsia="仿宋_GB2312" w:cs="仿宋_GB2312"/>
          <w:b w:val="0"/>
          <w:bCs/>
          <w:color w:val="auto"/>
          <w:sz w:val="32"/>
          <w:szCs w:val="32"/>
          <w:lang w:val="en" w:eastAsia="zh-CN"/>
        </w:rPr>
        <w:t>抓好“一专一站两联”建设，进一步提升团组织的组织力、引领力和服务力，已建</w:t>
      </w:r>
      <w:r>
        <w:rPr>
          <w:rFonts w:hint="eastAsia" w:ascii="仿宋_GB2312" w:hAnsi="仿宋_GB2312" w:eastAsia="仿宋_GB2312" w:cs="仿宋_GB2312"/>
          <w:b w:val="0"/>
          <w:bCs/>
          <w:color w:val="auto"/>
          <w:kern w:val="2"/>
          <w:sz w:val="32"/>
          <w:szCs w:val="32"/>
          <w:lang w:val="en" w:eastAsia="zh-CN" w:bidi="ar-SA"/>
        </w:rPr>
        <w:t>立团代表联络站</w:t>
      </w:r>
      <w:r>
        <w:rPr>
          <w:rFonts w:hint="eastAsia" w:ascii="仿宋_GB2312" w:hAnsi="仿宋_GB2312" w:eastAsia="仿宋_GB2312" w:cs="仿宋_GB2312"/>
          <w:b w:val="0"/>
          <w:bCs/>
          <w:color w:val="auto"/>
          <w:kern w:val="2"/>
          <w:sz w:val="32"/>
          <w:szCs w:val="32"/>
          <w:lang w:val="en-US" w:eastAsia="zh-CN" w:bidi="ar-SA"/>
        </w:rPr>
        <w:t>1</w:t>
      </w:r>
      <w:r>
        <w:rPr>
          <w:rFonts w:hint="eastAsia" w:ascii="仿宋_GB2312" w:hAnsi="仿宋_GB2312" w:eastAsia="仿宋_GB2312" w:cs="仿宋_GB2312"/>
          <w:b w:val="0"/>
          <w:bCs/>
          <w:color w:val="auto"/>
          <w:kern w:val="2"/>
          <w:sz w:val="32"/>
          <w:szCs w:val="32"/>
          <w:lang w:val="en" w:eastAsia="zh-CN" w:bidi="ar-SA"/>
        </w:rPr>
        <w:t>6个。</w:t>
      </w:r>
      <w:r>
        <w:rPr>
          <w:rFonts w:hint="eastAsia" w:ascii="仿宋_GB2312" w:hAnsi="仿宋_GB2312" w:eastAsia="仿宋_GB2312" w:cs="仿宋_GB2312"/>
          <w:b/>
          <w:bCs w:val="0"/>
          <w:color w:val="auto"/>
          <w:kern w:val="2"/>
          <w:sz w:val="32"/>
          <w:szCs w:val="32"/>
          <w:lang w:val="en-US" w:eastAsia="zh-CN" w:bidi="ar-SA"/>
        </w:rPr>
        <w:t>三是</w:t>
      </w:r>
      <w:r>
        <w:rPr>
          <w:rFonts w:hint="eastAsia" w:ascii="仿宋_GB2312" w:hAnsi="仿宋_GB2312" w:eastAsia="仿宋_GB2312" w:cs="仿宋_GB2312"/>
          <w:b w:val="0"/>
          <w:bCs/>
          <w:color w:val="auto"/>
          <w:kern w:val="2"/>
          <w:sz w:val="32"/>
          <w:szCs w:val="32"/>
          <w:lang w:val="en-US" w:eastAsia="zh-CN" w:bidi="ar-SA"/>
        </w:rPr>
        <w:t>推动非公团组织建设，</w:t>
      </w:r>
      <w:r>
        <w:rPr>
          <w:rFonts w:hint="eastAsia" w:ascii="仿宋_GB2312" w:hAnsi="仿宋_GB2312" w:eastAsia="仿宋_GB2312" w:cs="仿宋_GB2312"/>
          <w:b w:val="0"/>
          <w:bCs/>
          <w:kern w:val="2"/>
          <w:sz w:val="32"/>
          <w:szCs w:val="32"/>
          <w:lang w:val="en-US" w:eastAsia="zh-CN" w:bidi="ar-SA"/>
        </w:rPr>
        <w:t>以促进非公企业发展和服务青年成长成才为目的，主动争取党组织支持。截至目前，张家口已建非公经济团</w:t>
      </w:r>
      <w:r>
        <w:rPr>
          <w:rFonts w:hint="eastAsia" w:ascii="仿宋_GB2312" w:hAnsi="仿宋_GB2312" w:eastAsia="仿宋_GB2312" w:cs="仿宋_GB2312"/>
          <w:kern w:val="2"/>
          <w:sz w:val="32"/>
          <w:szCs w:val="32"/>
          <w:lang w:val="en-US" w:eastAsia="zh-CN" w:bidi="ar-SA"/>
        </w:rPr>
        <w:t>组织159个，全年新建102个。</w:t>
      </w:r>
      <w:r>
        <w:rPr>
          <w:rFonts w:hint="eastAsia" w:ascii="仿宋_GB2312" w:hAnsi="仿宋_GB2312" w:eastAsia="仿宋_GB2312" w:cs="仿宋_GB2312"/>
          <w:b/>
          <w:bCs/>
          <w:kern w:val="2"/>
          <w:sz w:val="32"/>
          <w:szCs w:val="32"/>
          <w:lang w:val="en-US" w:eastAsia="zh-CN" w:bidi="ar-SA"/>
        </w:rPr>
        <w:t>四是</w:t>
      </w:r>
      <w:r>
        <w:rPr>
          <w:rFonts w:hint="eastAsia" w:ascii="仿宋_GB2312" w:hAnsi="宋体" w:eastAsia="仿宋_GB2312" w:cstheme="minorBidi"/>
          <w:b w:val="0"/>
          <w:bCs/>
          <w:color w:val="auto"/>
          <w:kern w:val="2"/>
          <w:sz w:val="32"/>
          <w:szCs w:val="32"/>
          <w:lang w:val="en-US" w:eastAsia="zh-CN" w:bidi="ar-SA"/>
        </w:rPr>
        <w:t>履行全团带队职责，推动全市各级少先队组织制定队前教育内容大纲、全面实施分批入队，构建少先队员阶梯式成长激励体系。</w:t>
      </w:r>
      <w:r>
        <w:rPr>
          <w:rFonts w:hint="eastAsia" w:ascii="仿宋_GB2312" w:hAnsi="仿宋_GB2312" w:eastAsia="仿宋_GB2312" w:cs="仿宋_GB2312"/>
          <w:b w:val="0"/>
          <w:bCs/>
          <w:color w:val="auto"/>
          <w:kern w:val="2"/>
          <w:sz w:val="32"/>
          <w:szCs w:val="32"/>
          <w:lang w:val="en-US" w:eastAsia="zh-CN" w:bidi="ar-SA"/>
        </w:rPr>
        <w:t>按照《中共中央关于全面加强新时代少先队工作的意见》要求，经</w:t>
      </w:r>
      <w:r>
        <w:rPr>
          <w:rFonts w:hint="eastAsia" w:ascii="仿宋_GB2312" w:hAnsi="仿宋_GB2312" w:eastAsia="仿宋_GB2312" w:cs="仿宋_GB2312"/>
          <w:b w:val="0"/>
          <w:i w:val="0"/>
          <w:snapToGrid/>
          <w:color w:val="auto"/>
          <w:sz w:val="32"/>
          <w:szCs w:val="32"/>
          <w:lang w:val="en-US" w:eastAsia="zh-CN"/>
        </w:rPr>
        <w:t>市委常委会研究通过张家口市《关于全面加强新时代少先队工作的实施意见》。</w:t>
      </w:r>
      <w:r>
        <w:rPr>
          <w:rFonts w:hint="eastAsia" w:ascii="仿宋_GB2312" w:hAnsi="宋体" w:eastAsia="仿宋_GB2312" w:cstheme="minorBidi"/>
          <w:b w:val="0"/>
          <w:bCs/>
          <w:color w:val="auto"/>
          <w:kern w:val="2"/>
          <w:sz w:val="32"/>
          <w:szCs w:val="32"/>
          <w:lang w:val="en-US" w:eastAsia="zh-CN" w:bidi="ar-SA"/>
        </w:rPr>
        <w:t>广泛开展“红领巾争章”创建</w:t>
      </w:r>
      <w:r>
        <w:rPr>
          <w:rFonts w:hint="eastAsia" w:ascii="仿宋_GB2312" w:hAnsi="仿宋_GB2312" w:eastAsia="仿宋_GB2312" w:cs="仿宋_GB2312"/>
          <w:b w:val="0"/>
          <w:i w:val="0"/>
          <w:snapToGrid/>
          <w:color w:val="auto"/>
          <w:sz w:val="32"/>
          <w:szCs w:val="32"/>
          <w:lang w:val="en-US" w:eastAsia="zh-CN"/>
        </w:rPr>
        <w:t>活动。加强中学团校建设，逐步实现到2021年底在我市全日制中学普遍建立团校。截至目前，张家口共建立中学团校109所中学团校。</w:t>
      </w:r>
    </w:p>
    <w:p>
      <w:pPr>
        <w:overflowPunct w:val="0"/>
        <w:adjustRightInd w:val="0"/>
        <w:snapToGrid w:val="0"/>
        <w:jc w:val="both"/>
        <w:rPr>
          <w:rFonts w:hint="eastAsia" w:ascii="方正小标宋_GBK" w:hAnsi="宋体" w:eastAsia="方正小标宋_GBK" w:cs="宋体"/>
          <w:snapToGrid w:val="0"/>
          <w:color w:val="000000"/>
          <w:kern w:val="0"/>
          <w:sz w:val="36"/>
          <w:szCs w:val="36"/>
        </w:rPr>
      </w:pPr>
    </w:p>
    <w:p>
      <w:pPr>
        <w:overflowPunct w:val="0"/>
        <w:adjustRightInd w:val="0"/>
        <w:snapToGrid w:val="0"/>
        <w:jc w:val="both"/>
        <w:rPr>
          <w:rFonts w:hint="eastAsia" w:ascii="方正小标宋_GBK" w:hAnsi="宋体" w:eastAsia="方正小标宋_GBK" w:cs="宋体"/>
          <w:snapToGrid w:val="0"/>
          <w:color w:val="000000"/>
          <w:kern w:val="0"/>
          <w:sz w:val="36"/>
          <w:szCs w:val="36"/>
        </w:rPr>
      </w:pPr>
    </w:p>
    <w:p>
      <w:pPr>
        <w:overflowPunct w:val="0"/>
        <w:adjustRightInd w:val="0"/>
        <w:snapToGrid w:val="0"/>
        <w:ind w:firstLine="360" w:firstLineChars="100"/>
        <w:jc w:val="center"/>
        <w:rPr>
          <w:rFonts w:hint="eastAsia" w:eastAsia="仿宋_GB2312"/>
          <w:snapToGrid w:val="0"/>
          <w:color w:val="000000"/>
          <w:kern w:val="0"/>
          <w:sz w:val="32"/>
          <w:szCs w:val="32"/>
        </w:rPr>
      </w:pPr>
      <w:r>
        <w:rPr>
          <w:rFonts w:hint="eastAsia" w:ascii="方正小标宋_GBK" w:hAnsi="宋体" w:eastAsia="方正小标宋_GBK" w:cs="宋体"/>
          <w:snapToGrid w:val="0"/>
          <w:color w:val="000000"/>
          <w:kern w:val="0"/>
          <w:sz w:val="36"/>
          <w:szCs w:val="36"/>
        </w:rPr>
        <w:t>项目支出绩效自评表</w:t>
      </w:r>
    </w:p>
    <w:p>
      <w:pPr>
        <w:overflowPunct w:val="0"/>
        <w:adjustRightInd w:val="0"/>
        <w:snapToGrid w:val="0"/>
        <w:spacing w:before="93" w:beforeLines="30" w:after="93" w:afterLines="30"/>
        <w:jc w:val="center"/>
        <w:rPr>
          <w:rFonts w:eastAsia="仿宋_GB2312"/>
          <w:snapToGrid w:val="0"/>
          <w:color w:val="000000"/>
          <w:kern w:val="0"/>
          <w:sz w:val="32"/>
          <w:szCs w:val="32"/>
        </w:rPr>
      </w:pPr>
      <w:r>
        <w:rPr>
          <w:rFonts w:hint="eastAsia" w:ascii="宋体" w:hAnsi="宋体" w:cs="宋体"/>
          <w:snapToGrid w:val="0"/>
          <w:color w:val="000000"/>
          <w:kern w:val="0"/>
          <w:sz w:val="26"/>
          <w:szCs w:val="26"/>
        </w:rPr>
        <w:t xml:space="preserve">（ </w:t>
      </w:r>
      <w:r>
        <w:rPr>
          <w:rFonts w:hint="eastAsia" w:ascii="宋体" w:hAnsi="宋体" w:cs="宋体"/>
          <w:snapToGrid w:val="0"/>
          <w:color w:val="000000"/>
          <w:kern w:val="0"/>
          <w:sz w:val="26"/>
          <w:szCs w:val="26"/>
          <w:lang w:val="en-US" w:eastAsia="zh-CN"/>
        </w:rPr>
        <w:t>2021</w:t>
      </w:r>
      <w:r>
        <w:rPr>
          <w:rFonts w:hint="eastAsia" w:ascii="宋体" w:hAnsi="宋体" w:cs="宋体"/>
          <w:snapToGrid w:val="0"/>
          <w:color w:val="000000"/>
          <w:kern w:val="0"/>
          <w:sz w:val="26"/>
          <w:szCs w:val="26"/>
        </w:rPr>
        <w:t>年度）</w:t>
      </w:r>
    </w:p>
    <w:tbl>
      <w:tblPr>
        <w:tblStyle w:val="8"/>
        <w:tblW w:w="92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6"/>
        <w:gridCol w:w="463"/>
        <w:gridCol w:w="487"/>
        <w:gridCol w:w="974"/>
        <w:gridCol w:w="1374"/>
        <w:gridCol w:w="142"/>
        <w:gridCol w:w="1088"/>
        <w:gridCol w:w="823"/>
        <w:gridCol w:w="459"/>
        <w:gridCol w:w="203"/>
        <w:gridCol w:w="156"/>
        <w:gridCol w:w="930"/>
        <w:gridCol w:w="10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9" w:type="dxa"/>
            <w:gridSpan w:val="2"/>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center"/>
              <w:rPr>
                <w:rFonts w:ascii="宋体" w:hAnsi="宋体" w:cs="宋体"/>
                <w:snapToGrid w:val="0"/>
                <w:color w:val="000000"/>
                <w:kern w:val="0"/>
                <w:szCs w:val="21"/>
              </w:rPr>
            </w:pPr>
            <w:r>
              <w:rPr>
                <w:rFonts w:hint="eastAsia" w:ascii="宋体" w:hAnsi="宋体" w:cs="宋体"/>
                <w:snapToGrid w:val="0"/>
                <w:color w:val="000000"/>
                <w:kern w:val="0"/>
                <w:szCs w:val="21"/>
              </w:rPr>
              <w:t>项目名称</w:t>
            </w:r>
          </w:p>
        </w:tc>
        <w:tc>
          <w:tcPr>
            <w:tcW w:w="7672" w:type="dxa"/>
            <w:gridSpan w:val="11"/>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left"/>
              <w:rPr>
                <w:rFonts w:ascii="Calibri" w:hAnsi="Calibri"/>
                <w:szCs w:val="22"/>
              </w:rPr>
            </w:pPr>
            <w:r>
              <w:rPr>
                <w:rFonts w:hint="eastAsia" w:ascii="宋体" w:hAnsi="宋体" w:cs="宋体"/>
                <w:b w:val="0"/>
                <w:bCs/>
                <w:color w:val="000000"/>
                <w:sz w:val="20"/>
                <w:szCs w:val="20"/>
                <w:lang w:eastAsia="zh-CN"/>
              </w:rPr>
              <w:t>落实河北省中长期青年发展规划工作经费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9" w:type="dxa"/>
            <w:gridSpan w:val="2"/>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center"/>
              <w:rPr>
                <w:rFonts w:ascii="宋体" w:hAnsi="宋体" w:cs="宋体"/>
                <w:snapToGrid w:val="0"/>
                <w:color w:val="000000"/>
                <w:kern w:val="0"/>
                <w:szCs w:val="21"/>
              </w:rPr>
            </w:pPr>
            <w:r>
              <w:rPr>
                <w:rFonts w:hint="eastAsia" w:ascii="宋体" w:hAnsi="宋体" w:cs="宋体"/>
                <w:snapToGrid w:val="0"/>
                <w:color w:val="000000"/>
                <w:kern w:val="0"/>
                <w:szCs w:val="21"/>
              </w:rPr>
              <w:t>主管部门</w:t>
            </w:r>
          </w:p>
        </w:tc>
        <w:tc>
          <w:tcPr>
            <w:tcW w:w="4065" w:type="dxa"/>
            <w:gridSpan w:val="5"/>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left"/>
              <w:rPr>
                <w:rFonts w:hint="eastAsia" w:ascii="Calibri" w:hAnsi="Calibri" w:eastAsia="宋体"/>
                <w:szCs w:val="22"/>
                <w:lang w:eastAsia="zh-CN"/>
              </w:rPr>
            </w:pPr>
            <w:r>
              <w:rPr>
                <w:rFonts w:hint="eastAsia"/>
                <w:szCs w:val="22"/>
                <w:lang w:val="en-US" w:eastAsia="zh-CN"/>
              </w:rPr>
              <w:t>共青团张家口市委</w:t>
            </w:r>
          </w:p>
        </w:tc>
        <w:tc>
          <w:tcPr>
            <w:tcW w:w="82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overflowPunct w:val="0"/>
              <w:adjustRightInd w:val="0"/>
              <w:snapToGrid w:val="0"/>
              <w:jc w:val="center"/>
              <w:rPr>
                <w:rFonts w:ascii="宋体" w:hAnsi="宋体" w:cs="宋体"/>
                <w:snapToGrid w:val="0"/>
                <w:color w:val="000000"/>
                <w:kern w:val="0"/>
                <w:szCs w:val="21"/>
              </w:rPr>
            </w:pPr>
            <w:r>
              <w:rPr>
                <w:rFonts w:hint="eastAsia" w:ascii="宋体" w:hAnsi="宋体" w:cs="宋体"/>
                <w:snapToGrid w:val="0"/>
                <w:color w:val="000000"/>
                <w:kern w:val="0"/>
                <w:szCs w:val="21"/>
              </w:rPr>
              <w:t>实施单位</w:t>
            </w:r>
          </w:p>
        </w:tc>
        <w:tc>
          <w:tcPr>
            <w:tcW w:w="2784" w:type="dxa"/>
            <w:gridSpan w:val="5"/>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left"/>
              <w:rPr>
                <w:rFonts w:ascii="Calibri" w:hAnsi="Calibri"/>
                <w:szCs w:val="22"/>
              </w:rPr>
            </w:pPr>
            <w:r>
              <w:rPr>
                <w:rFonts w:hint="eastAsia"/>
                <w:szCs w:val="22"/>
                <w:lang w:val="en-US" w:eastAsia="zh-CN"/>
              </w:rPr>
              <w:t>共青团张家口市委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jc w:val="center"/>
        </w:trPr>
        <w:tc>
          <w:tcPr>
            <w:tcW w:w="1549" w:type="dxa"/>
            <w:gridSpan w:val="2"/>
            <w:vMerge w:val="restart"/>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center"/>
              <w:rPr>
                <w:rFonts w:hint="eastAsia" w:ascii="宋体" w:hAnsi="宋体" w:eastAsia="宋体" w:cs="宋体"/>
                <w:snapToGrid w:val="0"/>
                <w:color w:val="000000"/>
                <w:kern w:val="0"/>
                <w:szCs w:val="21"/>
              </w:rPr>
            </w:pPr>
            <w:r>
              <w:rPr>
                <w:rFonts w:hint="eastAsia" w:ascii="宋体" w:hAnsi="宋体" w:cs="宋体"/>
                <w:snapToGrid w:val="0"/>
                <w:color w:val="000000"/>
                <w:kern w:val="0"/>
                <w:szCs w:val="21"/>
              </w:rPr>
              <w:t>项目资金</w:t>
            </w:r>
          </w:p>
          <w:p>
            <w:pPr>
              <w:overflowPunct w:val="0"/>
              <w:adjustRightInd w:val="0"/>
              <w:snapToGrid w:val="0"/>
              <w:jc w:val="center"/>
              <w:rPr>
                <w:rFonts w:ascii="宋体" w:hAnsi="宋体" w:cs="宋体"/>
                <w:snapToGrid w:val="0"/>
                <w:color w:val="000000"/>
                <w:kern w:val="0"/>
                <w:szCs w:val="21"/>
              </w:rPr>
            </w:pPr>
            <w:r>
              <w:rPr>
                <w:rFonts w:hint="eastAsia" w:ascii="宋体" w:hAnsi="宋体" w:cs="宋体"/>
                <w:snapToGrid w:val="0"/>
                <w:color w:val="000000"/>
                <w:kern w:val="0"/>
                <w:szCs w:val="21"/>
              </w:rPr>
              <w:t>（万元）</w:t>
            </w:r>
          </w:p>
        </w:tc>
        <w:tc>
          <w:tcPr>
            <w:tcW w:w="1461" w:type="dxa"/>
            <w:gridSpan w:val="2"/>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left"/>
              <w:rPr>
                <w:rFonts w:ascii="Calibri" w:hAnsi="Calibri"/>
                <w:szCs w:val="22"/>
              </w:rPr>
            </w:pPr>
          </w:p>
        </w:tc>
        <w:tc>
          <w:tcPr>
            <w:tcW w:w="1374" w:type="dxa"/>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center"/>
              <w:rPr>
                <w:rFonts w:ascii="宋体" w:hAnsi="宋体" w:cs="宋体"/>
                <w:snapToGrid w:val="0"/>
                <w:color w:val="000000"/>
                <w:kern w:val="0"/>
                <w:szCs w:val="21"/>
              </w:rPr>
            </w:pPr>
            <w:r>
              <w:rPr>
                <w:rFonts w:hint="eastAsia" w:ascii="宋体" w:hAnsi="宋体" w:cs="宋体"/>
                <w:snapToGrid w:val="0"/>
                <w:color w:val="000000"/>
                <w:kern w:val="0"/>
                <w:szCs w:val="21"/>
              </w:rPr>
              <w:t>年初预算数</w:t>
            </w:r>
          </w:p>
        </w:tc>
        <w:tc>
          <w:tcPr>
            <w:tcW w:w="1230" w:type="dxa"/>
            <w:gridSpan w:val="2"/>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center"/>
              <w:rPr>
                <w:rFonts w:ascii="宋体" w:hAnsi="宋体" w:cs="宋体"/>
                <w:snapToGrid w:val="0"/>
                <w:color w:val="000000"/>
                <w:kern w:val="0"/>
                <w:szCs w:val="21"/>
              </w:rPr>
            </w:pPr>
            <w:r>
              <w:rPr>
                <w:rFonts w:hint="eastAsia" w:ascii="宋体" w:hAnsi="宋体" w:cs="宋体"/>
                <w:snapToGrid w:val="0"/>
                <w:color w:val="000000"/>
                <w:kern w:val="0"/>
                <w:szCs w:val="21"/>
              </w:rPr>
              <w:t>全年</w:t>
            </w:r>
          </w:p>
          <w:p>
            <w:pPr>
              <w:overflowPunct w:val="0"/>
              <w:adjustRightInd w:val="0"/>
              <w:snapToGrid w:val="0"/>
              <w:jc w:val="center"/>
              <w:rPr>
                <w:rFonts w:ascii="宋体" w:hAnsi="宋体" w:cs="宋体"/>
                <w:snapToGrid w:val="0"/>
                <w:color w:val="000000"/>
                <w:kern w:val="0"/>
                <w:szCs w:val="21"/>
              </w:rPr>
            </w:pPr>
            <w:r>
              <w:rPr>
                <w:rFonts w:hint="eastAsia" w:ascii="宋体" w:hAnsi="宋体" w:cs="宋体"/>
                <w:snapToGrid w:val="0"/>
                <w:color w:val="000000"/>
                <w:kern w:val="0"/>
                <w:szCs w:val="21"/>
              </w:rPr>
              <w:t>预算数</w:t>
            </w:r>
          </w:p>
        </w:tc>
        <w:tc>
          <w:tcPr>
            <w:tcW w:w="823" w:type="dxa"/>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center"/>
              <w:rPr>
                <w:rFonts w:ascii="宋体" w:hAnsi="宋体" w:cs="宋体"/>
                <w:snapToGrid w:val="0"/>
                <w:color w:val="000000"/>
                <w:kern w:val="0"/>
                <w:szCs w:val="21"/>
              </w:rPr>
            </w:pPr>
            <w:r>
              <w:rPr>
                <w:rFonts w:hint="eastAsia" w:ascii="宋体" w:hAnsi="宋体" w:cs="宋体"/>
                <w:snapToGrid w:val="0"/>
                <w:color w:val="000000"/>
                <w:kern w:val="0"/>
                <w:szCs w:val="21"/>
              </w:rPr>
              <w:t>全年</w:t>
            </w:r>
          </w:p>
          <w:p>
            <w:pPr>
              <w:overflowPunct w:val="0"/>
              <w:adjustRightInd w:val="0"/>
              <w:snapToGrid w:val="0"/>
              <w:jc w:val="center"/>
              <w:rPr>
                <w:rFonts w:ascii="宋体" w:hAnsi="宋体" w:cs="宋体"/>
                <w:snapToGrid w:val="0"/>
                <w:color w:val="000000"/>
                <w:kern w:val="0"/>
                <w:szCs w:val="21"/>
              </w:rPr>
            </w:pPr>
            <w:r>
              <w:rPr>
                <w:rFonts w:hint="eastAsia" w:ascii="宋体" w:hAnsi="宋体" w:cs="宋体"/>
                <w:snapToGrid w:val="0"/>
                <w:color w:val="000000"/>
                <w:kern w:val="0"/>
                <w:szCs w:val="21"/>
              </w:rPr>
              <w:t>执行数</w:t>
            </w:r>
          </w:p>
        </w:tc>
        <w:tc>
          <w:tcPr>
            <w:tcW w:w="662" w:type="dxa"/>
            <w:gridSpan w:val="2"/>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center"/>
              <w:rPr>
                <w:rFonts w:ascii="宋体" w:hAnsi="宋体" w:cs="宋体"/>
                <w:snapToGrid w:val="0"/>
                <w:color w:val="000000"/>
                <w:kern w:val="0"/>
                <w:szCs w:val="21"/>
              </w:rPr>
            </w:pPr>
            <w:r>
              <w:rPr>
                <w:rFonts w:hint="eastAsia" w:ascii="宋体" w:hAnsi="宋体" w:cs="宋体"/>
                <w:snapToGrid w:val="0"/>
                <w:color w:val="000000"/>
                <w:kern w:val="0"/>
                <w:szCs w:val="21"/>
              </w:rPr>
              <w:t>分值</w:t>
            </w:r>
          </w:p>
        </w:tc>
        <w:tc>
          <w:tcPr>
            <w:tcW w:w="1086" w:type="dxa"/>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overflowPunct w:val="0"/>
              <w:adjustRightInd w:val="0"/>
              <w:snapToGrid w:val="0"/>
              <w:jc w:val="center"/>
              <w:rPr>
                <w:rFonts w:ascii="宋体" w:hAnsi="宋体" w:cs="宋体"/>
                <w:snapToGrid w:val="0"/>
                <w:color w:val="000000"/>
                <w:kern w:val="0"/>
                <w:szCs w:val="21"/>
              </w:rPr>
            </w:pPr>
            <w:r>
              <w:rPr>
                <w:rFonts w:hint="eastAsia" w:ascii="宋体" w:hAnsi="宋体" w:cs="宋体"/>
                <w:snapToGrid w:val="0"/>
                <w:color w:val="000000"/>
                <w:kern w:val="0"/>
                <w:szCs w:val="21"/>
              </w:rPr>
              <w:t>执行率</w:t>
            </w:r>
          </w:p>
        </w:tc>
        <w:tc>
          <w:tcPr>
            <w:tcW w:w="1036" w:type="dxa"/>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center"/>
              <w:rPr>
                <w:rFonts w:ascii="宋体" w:hAnsi="宋体" w:cs="宋体"/>
                <w:snapToGrid w:val="0"/>
                <w:color w:val="000000"/>
                <w:kern w:val="0"/>
                <w:szCs w:val="21"/>
              </w:rPr>
            </w:pPr>
            <w:r>
              <w:rPr>
                <w:rFonts w:hint="eastAsia" w:ascii="宋体" w:hAnsi="宋体" w:cs="宋体"/>
                <w:snapToGrid w:val="0"/>
                <w:color w:val="000000"/>
                <w:kern w:val="0"/>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4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adjustRightInd w:val="0"/>
              <w:snapToGrid w:val="0"/>
              <w:jc w:val="left"/>
              <w:rPr>
                <w:rFonts w:ascii="宋体" w:hAnsi="宋体" w:cs="宋体"/>
                <w:snapToGrid w:val="0"/>
                <w:color w:val="000000"/>
                <w:kern w:val="0"/>
                <w:szCs w:val="21"/>
              </w:rPr>
            </w:pPr>
          </w:p>
        </w:tc>
        <w:tc>
          <w:tcPr>
            <w:tcW w:w="1461" w:type="dxa"/>
            <w:gridSpan w:val="2"/>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center"/>
              <w:rPr>
                <w:rFonts w:ascii="宋体" w:hAnsi="宋体" w:cs="宋体"/>
                <w:snapToGrid w:val="0"/>
                <w:color w:val="000000"/>
                <w:kern w:val="0"/>
                <w:szCs w:val="21"/>
              </w:rPr>
            </w:pPr>
            <w:r>
              <w:rPr>
                <w:rFonts w:hint="eastAsia" w:ascii="宋体" w:hAnsi="宋体" w:cs="宋体"/>
                <w:snapToGrid w:val="0"/>
                <w:color w:val="000000"/>
                <w:kern w:val="0"/>
                <w:szCs w:val="21"/>
              </w:rPr>
              <w:t>年度资金总额</w:t>
            </w:r>
          </w:p>
        </w:tc>
        <w:tc>
          <w:tcPr>
            <w:tcW w:w="1374" w:type="dxa"/>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left"/>
              <w:rPr>
                <w:rFonts w:hint="default" w:ascii="Calibri" w:hAnsi="Calibri" w:eastAsia="宋体"/>
                <w:szCs w:val="22"/>
                <w:lang w:val="en-US" w:eastAsia="zh-CN"/>
              </w:rPr>
            </w:pPr>
            <w:r>
              <w:rPr>
                <w:rFonts w:hint="eastAsia"/>
                <w:szCs w:val="22"/>
                <w:lang w:val="en-US" w:eastAsia="zh-CN"/>
              </w:rPr>
              <w:t>51.8</w:t>
            </w:r>
          </w:p>
        </w:tc>
        <w:tc>
          <w:tcPr>
            <w:tcW w:w="1230" w:type="dxa"/>
            <w:gridSpan w:val="2"/>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left"/>
              <w:rPr>
                <w:rFonts w:hint="default" w:ascii="Calibri" w:hAnsi="Calibri" w:eastAsia="宋体"/>
                <w:szCs w:val="22"/>
                <w:lang w:val="en-US" w:eastAsia="zh-CN"/>
              </w:rPr>
            </w:pPr>
            <w:r>
              <w:rPr>
                <w:rFonts w:hint="eastAsia"/>
                <w:szCs w:val="22"/>
                <w:lang w:val="en-US" w:eastAsia="zh-CN"/>
              </w:rPr>
              <w:t>51.8</w:t>
            </w:r>
          </w:p>
        </w:tc>
        <w:tc>
          <w:tcPr>
            <w:tcW w:w="823" w:type="dxa"/>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left"/>
              <w:rPr>
                <w:rFonts w:hint="default" w:ascii="Calibri" w:hAnsi="Calibri" w:eastAsia="宋体"/>
                <w:szCs w:val="22"/>
                <w:lang w:val="en-US" w:eastAsia="zh-CN"/>
              </w:rPr>
            </w:pPr>
            <w:r>
              <w:rPr>
                <w:rFonts w:hint="eastAsia"/>
                <w:szCs w:val="22"/>
                <w:lang w:val="en-US" w:eastAsia="zh-CN"/>
              </w:rPr>
              <w:t>38.106095</w:t>
            </w:r>
          </w:p>
        </w:tc>
        <w:tc>
          <w:tcPr>
            <w:tcW w:w="662" w:type="dxa"/>
            <w:gridSpan w:val="2"/>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center"/>
              <w:rPr>
                <w:rFonts w:hint="eastAsia" w:ascii="宋体" w:hAnsi="宋体" w:eastAsia="宋体" w:cs="宋体"/>
                <w:snapToGrid w:val="0"/>
                <w:color w:val="000000"/>
                <w:kern w:val="0"/>
                <w:szCs w:val="21"/>
                <w:lang w:eastAsia="zh-CN"/>
              </w:rPr>
            </w:pPr>
            <w:r>
              <w:rPr>
                <w:rFonts w:hint="eastAsia" w:ascii="宋体" w:hAnsi="宋体" w:cs="宋体"/>
                <w:snapToGrid w:val="0"/>
                <w:color w:val="000000"/>
                <w:kern w:val="0"/>
                <w:szCs w:val="21"/>
                <w:lang w:val="en-US" w:eastAsia="zh-CN"/>
              </w:rPr>
              <w:t>9</w:t>
            </w:r>
          </w:p>
        </w:tc>
        <w:tc>
          <w:tcPr>
            <w:tcW w:w="1086" w:type="dxa"/>
            <w:gridSpan w:val="2"/>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left"/>
              <w:rPr>
                <w:rFonts w:hint="default" w:ascii="Calibri" w:hAnsi="Calibri" w:eastAsia="宋体"/>
                <w:szCs w:val="22"/>
                <w:lang w:val="en-US" w:eastAsia="zh-CN"/>
              </w:rPr>
            </w:pPr>
            <w:r>
              <w:rPr>
                <w:rFonts w:hint="eastAsia" w:ascii="Calibri" w:hAnsi="Calibri" w:eastAsia="宋体"/>
                <w:szCs w:val="22"/>
                <w:lang w:val="en-US" w:eastAsia="zh-CN"/>
              </w:rPr>
              <w:t>73.</w:t>
            </w:r>
            <w:r>
              <w:rPr>
                <w:rFonts w:hint="eastAsia"/>
                <w:szCs w:val="22"/>
                <w:lang w:val="en-US" w:eastAsia="zh-CN"/>
              </w:rPr>
              <w:t>6</w:t>
            </w:r>
            <w:r>
              <w:rPr>
                <w:rFonts w:hint="eastAsia" w:ascii="Calibri" w:hAnsi="Calibri" w:eastAsia="宋体"/>
                <w:szCs w:val="22"/>
                <w:lang w:val="en-US" w:eastAsia="zh-CN"/>
              </w:rPr>
              <w:t>%</w:t>
            </w:r>
          </w:p>
        </w:tc>
        <w:tc>
          <w:tcPr>
            <w:tcW w:w="1036" w:type="dxa"/>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left"/>
              <w:rPr>
                <w:rFonts w:ascii="Calibri" w:hAnsi="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4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adjustRightInd w:val="0"/>
              <w:snapToGrid w:val="0"/>
              <w:jc w:val="left"/>
              <w:rPr>
                <w:rFonts w:ascii="宋体" w:hAnsi="宋体" w:cs="宋体"/>
                <w:snapToGrid w:val="0"/>
                <w:color w:val="000000"/>
                <w:kern w:val="0"/>
                <w:szCs w:val="21"/>
              </w:rPr>
            </w:pPr>
          </w:p>
        </w:tc>
        <w:tc>
          <w:tcPr>
            <w:tcW w:w="1461" w:type="dxa"/>
            <w:gridSpan w:val="2"/>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center"/>
              <w:rPr>
                <w:rFonts w:ascii="宋体" w:hAnsi="宋体" w:cs="宋体"/>
                <w:snapToGrid w:val="0"/>
                <w:color w:val="000000"/>
                <w:kern w:val="0"/>
                <w:szCs w:val="21"/>
              </w:rPr>
            </w:pPr>
            <w:r>
              <w:rPr>
                <w:rFonts w:hint="eastAsia" w:ascii="宋体" w:hAnsi="宋体" w:cs="宋体"/>
                <w:snapToGrid w:val="0"/>
                <w:color w:val="000000"/>
                <w:kern w:val="0"/>
                <w:szCs w:val="21"/>
              </w:rPr>
              <w:t>其中：当年财政拨款</w:t>
            </w:r>
          </w:p>
        </w:tc>
        <w:tc>
          <w:tcPr>
            <w:tcW w:w="1374" w:type="dxa"/>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left"/>
              <w:rPr>
                <w:rFonts w:hint="default" w:ascii="Calibri" w:hAnsi="Calibri" w:eastAsia="宋体"/>
                <w:szCs w:val="22"/>
                <w:lang w:val="en-US" w:eastAsia="zh-CN"/>
              </w:rPr>
            </w:pPr>
            <w:r>
              <w:rPr>
                <w:rFonts w:hint="eastAsia"/>
                <w:szCs w:val="22"/>
                <w:lang w:val="en-US" w:eastAsia="zh-CN"/>
              </w:rPr>
              <w:t>51.8</w:t>
            </w:r>
          </w:p>
        </w:tc>
        <w:tc>
          <w:tcPr>
            <w:tcW w:w="1230" w:type="dxa"/>
            <w:gridSpan w:val="2"/>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left"/>
              <w:rPr>
                <w:rFonts w:hint="default" w:ascii="Calibri" w:hAnsi="Calibri" w:eastAsia="宋体"/>
                <w:szCs w:val="22"/>
                <w:lang w:val="en-US" w:eastAsia="zh-CN"/>
              </w:rPr>
            </w:pPr>
            <w:r>
              <w:rPr>
                <w:rFonts w:hint="eastAsia"/>
                <w:szCs w:val="22"/>
                <w:lang w:val="en-US" w:eastAsia="zh-CN"/>
              </w:rPr>
              <w:t>51.8</w:t>
            </w:r>
          </w:p>
        </w:tc>
        <w:tc>
          <w:tcPr>
            <w:tcW w:w="823" w:type="dxa"/>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left"/>
              <w:rPr>
                <w:rFonts w:hint="default" w:ascii="Calibri" w:hAnsi="Calibri" w:eastAsia="宋体"/>
                <w:szCs w:val="22"/>
                <w:lang w:val="en-US" w:eastAsia="zh-CN"/>
              </w:rPr>
            </w:pPr>
            <w:r>
              <w:rPr>
                <w:rFonts w:hint="eastAsia"/>
                <w:szCs w:val="22"/>
                <w:lang w:val="en-US" w:eastAsia="zh-CN"/>
              </w:rPr>
              <w:t>38.106095</w:t>
            </w:r>
          </w:p>
        </w:tc>
        <w:tc>
          <w:tcPr>
            <w:tcW w:w="662" w:type="dxa"/>
            <w:gridSpan w:val="2"/>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center"/>
              <w:rPr>
                <w:rFonts w:ascii="宋体" w:hAnsi="宋体" w:cs="宋体"/>
                <w:snapToGrid w:val="0"/>
                <w:color w:val="000000"/>
                <w:kern w:val="0"/>
                <w:szCs w:val="21"/>
              </w:rPr>
            </w:pPr>
            <w:r>
              <w:rPr>
                <w:rFonts w:hint="eastAsia" w:ascii="宋体" w:hAnsi="宋体" w:cs="宋体"/>
                <w:snapToGrid w:val="0"/>
                <w:color w:val="000000"/>
                <w:kern w:val="0"/>
                <w:szCs w:val="21"/>
              </w:rPr>
              <w:t>—</w:t>
            </w:r>
          </w:p>
        </w:tc>
        <w:tc>
          <w:tcPr>
            <w:tcW w:w="1086" w:type="dxa"/>
            <w:gridSpan w:val="2"/>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left"/>
              <w:rPr>
                <w:rFonts w:ascii="Calibri" w:hAnsi="Calibri"/>
                <w:szCs w:val="22"/>
              </w:rPr>
            </w:pPr>
          </w:p>
        </w:tc>
        <w:tc>
          <w:tcPr>
            <w:tcW w:w="1036" w:type="dxa"/>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center"/>
              <w:rPr>
                <w:rFonts w:ascii="宋体" w:hAnsi="宋体" w:cs="宋体"/>
                <w:snapToGrid w:val="0"/>
                <w:color w:val="000000"/>
                <w:kern w:val="0"/>
                <w:szCs w:val="21"/>
              </w:rPr>
            </w:pPr>
            <w:r>
              <w:rPr>
                <w:rFonts w:hint="eastAsia" w:ascii="宋体" w:hAnsi="宋体" w:cs="宋体"/>
                <w:snapToGrid w:val="0"/>
                <w:color w:val="000000"/>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4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adjustRightInd w:val="0"/>
              <w:snapToGrid w:val="0"/>
              <w:jc w:val="left"/>
              <w:rPr>
                <w:rFonts w:ascii="宋体" w:hAnsi="宋体" w:cs="宋体"/>
                <w:snapToGrid w:val="0"/>
                <w:color w:val="000000"/>
                <w:kern w:val="0"/>
                <w:szCs w:val="21"/>
              </w:rPr>
            </w:pPr>
          </w:p>
        </w:tc>
        <w:tc>
          <w:tcPr>
            <w:tcW w:w="1461" w:type="dxa"/>
            <w:gridSpan w:val="2"/>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center"/>
              <w:rPr>
                <w:rFonts w:ascii="宋体" w:hAnsi="宋体" w:cs="宋体"/>
                <w:snapToGrid w:val="0"/>
                <w:color w:val="000000"/>
                <w:kern w:val="0"/>
                <w:szCs w:val="21"/>
              </w:rPr>
            </w:pPr>
            <w:r>
              <w:rPr>
                <w:rFonts w:hint="eastAsia" w:ascii="宋体" w:hAnsi="宋体" w:cs="宋体"/>
                <w:snapToGrid w:val="0"/>
                <w:color w:val="000000"/>
                <w:kern w:val="0"/>
                <w:szCs w:val="21"/>
              </w:rPr>
              <w:t>上年结转资金</w:t>
            </w:r>
          </w:p>
        </w:tc>
        <w:tc>
          <w:tcPr>
            <w:tcW w:w="1374" w:type="dxa"/>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left"/>
              <w:rPr>
                <w:rFonts w:ascii="Calibri" w:hAnsi="Calibri"/>
                <w:szCs w:val="22"/>
              </w:rPr>
            </w:pPr>
          </w:p>
        </w:tc>
        <w:tc>
          <w:tcPr>
            <w:tcW w:w="1230" w:type="dxa"/>
            <w:gridSpan w:val="2"/>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left"/>
              <w:rPr>
                <w:rFonts w:ascii="Calibri" w:hAnsi="Calibri"/>
                <w:szCs w:val="22"/>
              </w:rPr>
            </w:pPr>
          </w:p>
        </w:tc>
        <w:tc>
          <w:tcPr>
            <w:tcW w:w="823" w:type="dxa"/>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left"/>
              <w:rPr>
                <w:rFonts w:ascii="Calibri" w:hAnsi="Calibri"/>
                <w:szCs w:val="22"/>
              </w:rPr>
            </w:pPr>
          </w:p>
        </w:tc>
        <w:tc>
          <w:tcPr>
            <w:tcW w:w="662" w:type="dxa"/>
            <w:gridSpan w:val="2"/>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center"/>
              <w:rPr>
                <w:rFonts w:ascii="宋体" w:hAnsi="宋体" w:cs="宋体"/>
                <w:snapToGrid w:val="0"/>
                <w:color w:val="000000"/>
                <w:kern w:val="0"/>
                <w:szCs w:val="21"/>
              </w:rPr>
            </w:pPr>
            <w:r>
              <w:rPr>
                <w:rFonts w:hint="eastAsia" w:ascii="宋体" w:hAnsi="宋体" w:cs="宋体"/>
                <w:snapToGrid w:val="0"/>
                <w:color w:val="000000"/>
                <w:kern w:val="0"/>
                <w:szCs w:val="21"/>
              </w:rPr>
              <w:t>—</w:t>
            </w:r>
          </w:p>
        </w:tc>
        <w:tc>
          <w:tcPr>
            <w:tcW w:w="1086" w:type="dxa"/>
            <w:gridSpan w:val="2"/>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left"/>
              <w:rPr>
                <w:rFonts w:ascii="Calibri" w:hAnsi="Calibri"/>
                <w:szCs w:val="22"/>
              </w:rPr>
            </w:pPr>
          </w:p>
        </w:tc>
        <w:tc>
          <w:tcPr>
            <w:tcW w:w="1036" w:type="dxa"/>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center"/>
              <w:rPr>
                <w:rFonts w:ascii="宋体" w:hAnsi="宋体" w:cs="宋体"/>
                <w:snapToGrid w:val="0"/>
                <w:color w:val="000000"/>
                <w:kern w:val="0"/>
                <w:szCs w:val="21"/>
              </w:rPr>
            </w:pPr>
            <w:r>
              <w:rPr>
                <w:rFonts w:hint="eastAsia" w:ascii="宋体" w:hAnsi="宋体" w:cs="宋体"/>
                <w:snapToGrid w:val="0"/>
                <w:color w:val="000000"/>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4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adjustRightInd w:val="0"/>
              <w:snapToGrid w:val="0"/>
              <w:jc w:val="left"/>
              <w:rPr>
                <w:rFonts w:ascii="宋体" w:hAnsi="宋体" w:cs="宋体"/>
                <w:snapToGrid w:val="0"/>
                <w:color w:val="000000"/>
                <w:kern w:val="0"/>
                <w:szCs w:val="21"/>
              </w:rPr>
            </w:pPr>
          </w:p>
        </w:tc>
        <w:tc>
          <w:tcPr>
            <w:tcW w:w="1461" w:type="dxa"/>
            <w:gridSpan w:val="2"/>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center"/>
              <w:rPr>
                <w:rFonts w:ascii="宋体" w:hAnsi="宋体" w:cs="宋体"/>
                <w:snapToGrid w:val="0"/>
                <w:color w:val="000000"/>
                <w:kern w:val="0"/>
                <w:szCs w:val="21"/>
              </w:rPr>
            </w:pPr>
            <w:r>
              <w:rPr>
                <w:rFonts w:hint="eastAsia" w:ascii="宋体" w:hAnsi="宋体" w:cs="宋体"/>
                <w:snapToGrid w:val="0"/>
                <w:color w:val="000000"/>
                <w:kern w:val="0"/>
                <w:szCs w:val="21"/>
              </w:rPr>
              <w:t>其他资金</w:t>
            </w:r>
          </w:p>
        </w:tc>
        <w:tc>
          <w:tcPr>
            <w:tcW w:w="1374" w:type="dxa"/>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left"/>
              <w:rPr>
                <w:rFonts w:ascii="Calibri" w:hAnsi="Calibri"/>
                <w:szCs w:val="22"/>
              </w:rPr>
            </w:pPr>
          </w:p>
        </w:tc>
        <w:tc>
          <w:tcPr>
            <w:tcW w:w="1230" w:type="dxa"/>
            <w:gridSpan w:val="2"/>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left"/>
              <w:rPr>
                <w:rFonts w:ascii="Calibri" w:hAnsi="Calibri"/>
                <w:szCs w:val="22"/>
              </w:rPr>
            </w:pPr>
          </w:p>
        </w:tc>
        <w:tc>
          <w:tcPr>
            <w:tcW w:w="823" w:type="dxa"/>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left"/>
              <w:rPr>
                <w:rFonts w:ascii="Calibri" w:hAnsi="Calibri"/>
                <w:szCs w:val="22"/>
              </w:rPr>
            </w:pPr>
          </w:p>
        </w:tc>
        <w:tc>
          <w:tcPr>
            <w:tcW w:w="662" w:type="dxa"/>
            <w:gridSpan w:val="2"/>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center"/>
              <w:rPr>
                <w:rFonts w:ascii="宋体" w:hAnsi="宋体" w:cs="宋体"/>
                <w:snapToGrid w:val="0"/>
                <w:color w:val="000000"/>
                <w:kern w:val="0"/>
                <w:szCs w:val="21"/>
              </w:rPr>
            </w:pPr>
            <w:r>
              <w:rPr>
                <w:rFonts w:hint="eastAsia" w:ascii="宋体" w:hAnsi="宋体" w:cs="宋体"/>
                <w:snapToGrid w:val="0"/>
                <w:color w:val="000000"/>
                <w:kern w:val="0"/>
                <w:szCs w:val="21"/>
              </w:rPr>
              <w:t>—</w:t>
            </w:r>
          </w:p>
        </w:tc>
        <w:tc>
          <w:tcPr>
            <w:tcW w:w="1086" w:type="dxa"/>
            <w:gridSpan w:val="2"/>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left"/>
              <w:rPr>
                <w:rFonts w:ascii="Calibri" w:hAnsi="Calibri"/>
                <w:szCs w:val="22"/>
              </w:rPr>
            </w:pPr>
          </w:p>
        </w:tc>
        <w:tc>
          <w:tcPr>
            <w:tcW w:w="1036" w:type="dxa"/>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center"/>
              <w:rPr>
                <w:rFonts w:ascii="宋体" w:hAnsi="宋体" w:cs="宋体"/>
                <w:snapToGrid w:val="0"/>
                <w:color w:val="000000"/>
                <w:kern w:val="0"/>
                <w:szCs w:val="21"/>
              </w:rPr>
            </w:pPr>
            <w:r>
              <w:rPr>
                <w:rFonts w:hint="eastAsia" w:ascii="宋体" w:hAnsi="宋体" w:cs="宋体"/>
                <w:snapToGrid w:val="0"/>
                <w:color w:val="000000"/>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086" w:type="dxa"/>
            <w:vMerge w:val="restar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overflowPunct w:val="0"/>
              <w:adjustRightInd w:val="0"/>
              <w:snapToGrid w:val="0"/>
              <w:jc w:val="center"/>
              <w:rPr>
                <w:rFonts w:ascii="宋体" w:hAnsi="宋体" w:cs="宋体"/>
                <w:snapToGrid w:val="0"/>
                <w:color w:val="000000"/>
                <w:kern w:val="0"/>
                <w:szCs w:val="21"/>
              </w:rPr>
            </w:pPr>
            <w:r>
              <w:rPr>
                <w:rFonts w:hint="eastAsia" w:ascii="宋体" w:hAnsi="宋体" w:cs="宋体"/>
                <w:snapToGrid w:val="0"/>
                <w:color w:val="000000"/>
                <w:kern w:val="0"/>
                <w:szCs w:val="21"/>
              </w:rPr>
              <w:t>年度总体目标</w:t>
            </w:r>
          </w:p>
        </w:tc>
        <w:tc>
          <w:tcPr>
            <w:tcW w:w="4528" w:type="dxa"/>
            <w:gridSpan w:val="6"/>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center"/>
              <w:rPr>
                <w:rFonts w:ascii="宋体" w:hAnsi="宋体" w:cs="宋体"/>
                <w:snapToGrid w:val="0"/>
                <w:color w:val="000000"/>
                <w:kern w:val="0"/>
                <w:szCs w:val="21"/>
              </w:rPr>
            </w:pPr>
            <w:r>
              <w:rPr>
                <w:rFonts w:hint="eastAsia" w:ascii="宋体" w:hAnsi="宋体" w:cs="宋体"/>
                <w:snapToGrid w:val="0"/>
                <w:color w:val="000000"/>
                <w:kern w:val="0"/>
                <w:szCs w:val="21"/>
              </w:rPr>
              <w:t>预期目标</w:t>
            </w:r>
          </w:p>
        </w:tc>
        <w:tc>
          <w:tcPr>
            <w:tcW w:w="3607" w:type="dxa"/>
            <w:gridSpan w:val="6"/>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overflowPunct w:val="0"/>
              <w:adjustRightInd w:val="0"/>
              <w:snapToGrid w:val="0"/>
              <w:jc w:val="center"/>
              <w:rPr>
                <w:rFonts w:ascii="宋体" w:hAnsi="宋体" w:cs="宋体"/>
                <w:snapToGrid w:val="0"/>
                <w:color w:val="000000"/>
                <w:kern w:val="0"/>
                <w:szCs w:val="21"/>
              </w:rPr>
            </w:pPr>
            <w:r>
              <w:rPr>
                <w:rFonts w:hint="eastAsia" w:ascii="宋体" w:hAnsi="宋体" w:cs="宋体"/>
                <w:snapToGrid w:val="0"/>
                <w:color w:val="000000"/>
                <w:kern w:val="0"/>
                <w:szCs w:val="21"/>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jc w:val="center"/>
        </w:trPr>
        <w:tc>
          <w:tcPr>
            <w:tcW w:w="1086" w:type="dxa"/>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adjustRightInd w:val="0"/>
              <w:snapToGrid w:val="0"/>
              <w:jc w:val="left"/>
              <w:rPr>
                <w:rFonts w:ascii="宋体" w:hAnsi="宋体" w:cs="宋体"/>
                <w:snapToGrid w:val="0"/>
                <w:color w:val="000000"/>
                <w:kern w:val="0"/>
                <w:szCs w:val="21"/>
              </w:rPr>
            </w:pPr>
          </w:p>
        </w:tc>
        <w:tc>
          <w:tcPr>
            <w:tcW w:w="4528" w:type="dxa"/>
            <w:gridSpan w:val="6"/>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left"/>
              <w:rPr>
                <w:rFonts w:ascii="Calibri" w:hAnsi="Calibri"/>
                <w:szCs w:val="22"/>
              </w:rPr>
            </w:pPr>
            <w:r>
              <w:rPr>
                <w:rFonts w:hint="eastAsia" w:ascii="Calibri" w:hAnsi="Calibri"/>
                <w:szCs w:val="22"/>
                <w:lang w:eastAsia="zh-CN"/>
              </w:rPr>
              <w:t>用于开展有关的培训支出、会议支出、督导调研支出、日常办公、设备购置支出</w:t>
            </w:r>
          </w:p>
        </w:tc>
        <w:tc>
          <w:tcPr>
            <w:tcW w:w="3607" w:type="dxa"/>
            <w:gridSpan w:val="6"/>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left"/>
              <w:rPr>
                <w:rFonts w:hint="eastAsia" w:ascii="Calibri" w:hAnsi="Calibri" w:eastAsia="宋体"/>
                <w:szCs w:val="22"/>
                <w:lang w:eastAsia="zh-CN"/>
              </w:rPr>
            </w:pPr>
            <w:r>
              <w:rPr>
                <w:rFonts w:hint="eastAsia" w:ascii="Calibri" w:hAnsi="Calibri"/>
                <w:szCs w:val="22"/>
                <w:lang w:eastAsia="zh-CN"/>
              </w:rPr>
              <w:t>部分室外培训转入室内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jc w:val="center"/>
        </w:trPr>
        <w:tc>
          <w:tcPr>
            <w:tcW w:w="1086" w:type="dxa"/>
            <w:vMerge w:val="restar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overflowPunct w:val="0"/>
              <w:adjustRightInd w:val="0"/>
              <w:snapToGrid w:val="0"/>
              <w:jc w:val="center"/>
              <w:rPr>
                <w:rFonts w:ascii="宋体" w:hAnsi="宋体" w:cs="宋体"/>
                <w:snapToGrid w:val="0"/>
                <w:color w:val="000000"/>
                <w:kern w:val="0"/>
                <w:szCs w:val="21"/>
              </w:rPr>
            </w:pPr>
            <w:r>
              <w:rPr>
                <w:rFonts w:hint="eastAsia" w:ascii="宋体" w:hAnsi="宋体" w:cs="宋体"/>
                <w:snapToGrid w:val="0"/>
                <w:color w:val="000000"/>
                <w:kern w:val="0"/>
                <w:szCs w:val="21"/>
              </w:rPr>
              <w:t>绩效指标</w:t>
            </w:r>
          </w:p>
        </w:tc>
        <w:tc>
          <w:tcPr>
            <w:tcW w:w="950" w:type="dxa"/>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overflowPunct w:val="0"/>
              <w:adjustRightInd w:val="0"/>
              <w:snapToGrid w:val="0"/>
              <w:jc w:val="center"/>
              <w:rPr>
                <w:rFonts w:ascii="宋体" w:hAnsi="宋体" w:cs="宋体"/>
                <w:snapToGrid w:val="0"/>
                <w:color w:val="000000"/>
                <w:kern w:val="0"/>
                <w:szCs w:val="21"/>
              </w:rPr>
            </w:pPr>
            <w:r>
              <w:rPr>
                <w:rFonts w:hint="eastAsia" w:ascii="宋体" w:hAnsi="宋体" w:cs="宋体"/>
                <w:snapToGrid w:val="0"/>
                <w:color w:val="000000"/>
                <w:kern w:val="0"/>
                <w:szCs w:val="21"/>
              </w:rPr>
              <w:t>一级指标</w:t>
            </w:r>
          </w:p>
        </w:tc>
        <w:tc>
          <w:tcPr>
            <w:tcW w:w="974"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overflowPunct w:val="0"/>
              <w:adjustRightInd w:val="0"/>
              <w:snapToGrid w:val="0"/>
              <w:jc w:val="center"/>
              <w:rPr>
                <w:rFonts w:ascii="宋体" w:hAnsi="宋体" w:cs="宋体"/>
                <w:snapToGrid w:val="0"/>
                <w:color w:val="000000"/>
                <w:kern w:val="0"/>
                <w:szCs w:val="21"/>
              </w:rPr>
            </w:pPr>
            <w:r>
              <w:rPr>
                <w:rFonts w:hint="eastAsia" w:ascii="宋体" w:hAnsi="宋体" w:cs="宋体"/>
                <w:snapToGrid w:val="0"/>
                <w:color w:val="000000"/>
                <w:kern w:val="0"/>
                <w:szCs w:val="21"/>
              </w:rPr>
              <w:t>二级</w:t>
            </w:r>
          </w:p>
          <w:p>
            <w:pPr>
              <w:overflowPunct w:val="0"/>
              <w:adjustRightInd w:val="0"/>
              <w:snapToGrid w:val="0"/>
              <w:jc w:val="center"/>
              <w:rPr>
                <w:rFonts w:ascii="宋体" w:hAnsi="宋体" w:cs="宋体"/>
                <w:snapToGrid w:val="0"/>
                <w:color w:val="000000"/>
                <w:kern w:val="0"/>
                <w:szCs w:val="21"/>
              </w:rPr>
            </w:pPr>
            <w:r>
              <w:rPr>
                <w:rFonts w:hint="eastAsia" w:ascii="宋体" w:hAnsi="宋体" w:cs="宋体"/>
                <w:snapToGrid w:val="0"/>
                <w:color w:val="000000"/>
                <w:kern w:val="0"/>
                <w:szCs w:val="21"/>
              </w:rPr>
              <w:t>指标</w:t>
            </w:r>
          </w:p>
        </w:tc>
        <w:tc>
          <w:tcPr>
            <w:tcW w:w="1516" w:type="dxa"/>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overflowPunct w:val="0"/>
              <w:adjustRightInd w:val="0"/>
              <w:snapToGrid w:val="0"/>
              <w:jc w:val="center"/>
              <w:rPr>
                <w:rFonts w:ascii="宋体" w:hAnsi="宋体" w:cs="宋体"/>
                <w:snapToGrid w:val="0"/>
                <w:color w:val="000000"/>
                <w:kern w:val="0"/>
                <w:szCs w:val="21"/>
              </w:rPr>
            </w:pPr>
            <w:r>
              <w:rPr>
                <w:rFonts w:hint="eastAsia" w:ascii="宋体" w:hAnsi="宋体" w:cs="宋体"/>
                <w:snapToGrid w:val="0"/>
                <w:color w:val="000000"/>
                <w:kern w:val="0"/>
                <w:szCs w:val="21"/>
              </w:rPr>
              <w:t>三级指标</w:t>
            </w:r>
          </w:p>
        </w:tc>
        <w:tc>
          <w:tcPr>
            <w:tcW w:w="108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overflowPunct w:val="0"/>
              <w:adjustRightInd w:val="0"/>
              <w:snapToGrid w:val="0"/>
              <w:jc w:val="center"/>
              <w:rPr>
                <w:rFonts w:ascii="宋体" w:hAnsi="宋体" w:cs="宋体"/>
                <w:snapToGrid w:val="0"/>
                <w:color w:val="000000"/>
                <w:kern w:val="0"/>
                <w:szCs w:val="21"/>
              </w:rPr>
            </w:pPr>
            <w:r>
              <w:rPr>
                <w:rFonts w:hint="eastAsia" w:ascii="宋体" w:hAnsi="宋体" w:cs="宋体"/>
                <w:snapToGrid w:val="0"/>
                <w:color w:val="000000"/>
                <w:kern w:val="0"/>
                <w:szCs w:val="21"/>
              </w:rPr>
              <w:t>年度</w:t>
            </w:r>
          </w:p>
          <w:p>
            <w:pPr>
              <w:overflowPunct w:val="0"/>
              <w:adjustRightInd w:val="0"/>
              <w:snapToGrid w:val="0"/>
              <w:jc w:val="center"/>
              <w:rPr>
                <w:rFonts w:ascii="宋体" w:hAnsi="宋体" w:cs="宋体"/>
                <w:snapToGrid w:val="0"/>
                <w:color w:val="000000"/>
                <w:kern w:val="0"/>
                <w:szCs w:val="21"/>
              </w:rPr>
            </w:pPr>
            <w:r>
              <w:rPr>
                <w:rFonts w:hint="eastAsia" w:ascii="宋体" w:hAnsi="宋体" w:cs="宋体"/>
                <w:snapToGrid w:val="0"/>
                <w:color w:val="000000"/>
                <w:kern w:val="0"/>
                <w:szCs w:val="21"/>
              </w:rPr>
              <w:t>指标值</w:t>
            </w:r>
          </w:p>
        </w:tc>
        <w:tc>
          <w:tcPr>
            <w:tcW w:w="82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overflowPunct w:val="0"/>
              <w:adjustRightInd w:val="0"/>
              <w:snapToGrid w:val="0"/>
              <w:jc w:val="center"/>
              <w:rPr>
                <w:rFonts w:ascii="宋体" w:hAnsi="宋体" w:cs="宋体"/>
                <w:snapToGrid w:val="0"/>
                <w:color w:val="000000"/>
                <w:kern w:val="0"/>
                <w:szCs w:val="21"/>
              </w:rPr>
            </w:pPr>
            <w:r>
              <w:rPr>
                <w:rFonts w:hint="eastAsia" w:ascii="宋体" w:hAnsi="宋体" w:cs="宋体"/>
                <w:snapToGrid w:val="0"/>
                <w:color w:val="000000"/>
                <w:kern w:val="0"/>
                <w:szCs w:val="21"/>
              </w:rPr>
              <w:t>实际</w:t>
            </w:r>
          </w:p>
          <w:p>
            <w:pPr>
              <w:overflowPunct w:val="0"/>
              <w:adjustRightInd w:val="0"/>
              <w:snapToGrid w:val="0"/>
              <w:jc w:val="center"/>
              <w:rPr>
                <w:rFonts w:ascii="宋体" w:hAnsi="宋体" w:cs="宋体"/>
                <w:snapToGrid w:val="0"/>
                <w:color w:val="000000"/>
                <w:kern w:val="0"/>
                <w:szCs w:val="21"/>
              </w:rPr>
            </w:pPr>
            <w:r>
              <w:rPr>
                <w:rFonts w:hint="eastAsia" w:ascii="宋体" w:hAnsi="宋体" w:cs="宋体"/>
                <w:snapToGrid w:val="0"/>
                <w:color w:val="000000"/>
                <w:kern w:val="0"/>
                <w:szCs w:val="21"/>
              </w:rPr>
              <w:t>完成值</w:t>
            </w:r>
          </w:p>
        </w:tc>
        <w:tc>
          <w:tcPr>
            <w:tcW w:w="45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overflowPunct w:val="0"/>
              <w:adjustRightInd w:val="0"/>
              <w:snapToGrid w:val="0"/>
              <w:jc w:val="center"/>
              <w:rPr>
                <w:rFonts w:ascii="宋体" w:hAnsi="宋体" w:cs="宋体"/>
                <w:snapToGrid w:val="0"/>
                <w:color w:val="000000"/>
                <w:kern w:val="0"/>
                <w:szCs w:val="21"/>
              </w:rPr>
            </w:pPr>
            <w:r>
              <w:rPr>
                <w:rFonts w:hint="eastAsia" w:ascii="宋体" w:hAnsi="宋体" w:cs="宋体"/>
                <w:snapToGrid w:val="0"/>
                <w:color w:val="000000"/>
                <w:kern w:val="0"/>
                <w:szCs w:val="21"/>
              </w:rPr>
              <w:t>分值</w:t>
            </w:r>
          </w:p>
        </w:tc>
        <w:tc>
          <w:tcPr>
            <w:tcW w:w="359" w:type="dxa"/>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overflowPunct w:val="0"/>
              <w:adjustRightInd w:val="0"/>
              <w:snapToGrid w:val="0"/>
              <w:jc w:val="center"/>
              <w:rPr>
                <w:rFonts w:ascii="宋体" w:hAnsi="宋体" w:cs="宋体"/>
                <w:snapToGrid w:val="0"/>
                <w:color w:val="000000"/>
                <w:kern w:val="0"/>
                <w:szCs w:val="21"/>
              </w:rPr>
            </w:pPr>
            <w:r>
              <w:rPr>
                <w:rFonts w:hint="eastAsia" w:ascii="宋体" w:hAnsi="宋体" w:cs="宋体"/>
                <w:snapToGrid w:val="0"/>
                <w:color w:val="000000"/>
                <w:kern w:val="0"/>
                <w:szCs w:val="21"/>
              </w:rPr>
              <w:t>得分</w:t>
            </w:r>
          </w:p>
        </w:tc>
        <w:tc>
          <w:tcPr>
            <w:tcW w:w="1966" w:type="dxa"/>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overflowPunct w:val="0"/>
              <w:adjustRightInd w:val="0"/>
              <w:snapToGrid w:val="0"/>
              <w:jc w:val="center"/>
              <w:rPr>
                <w:rFonts w:ascii="宋体" w:hAnsi="宋体" w:cs="宋体"/>
                <w:snapToGrid w:val="0"/>
                <w:color w:val="000000"/>
                <w:kern w:val="0"/>
                <w:szCs w:val="21"/>
              </w:rPr>
            </w:pPr>
            <w:r>
              <w:rPr>
                <w:rFonts w:hint="eastAsia" w:ascii="宋体" w:hAnsi="宋体" w:cs="宋体"/>
                <w:snapToGrid w:val="0"/>
                <w:color w:val="000000"/>
                <w:kern w:val="0"/>
                <w:szCs w:val="21"/>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086" w:type="dxa"/>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adjustRightInd w:val="0"/>
              <w:snapToGrid w:val="0"/>
              <w:jc w:val="left"/>
              <w:rPr>
                <w:rFonts w:ascii="宋体" w:hAnsi="宋体" w:cs="宋体"/>
                <w:snapToGrid w:val="0"/>
                <w:color w:val="000000"/>
                <w:kern w:val="0"/>
                <w:szCs w:val="21"/>
              </w:rPr>
            </w:pPr>
          </w:p>
        </w:tc>
        <w:tc>
          <w:tcPr>
            <w:tcW w:w="950" w:type="dxa"/>
            <w:gridSpan w:val="2"/>
            <w:vMerge w:val="restart"/>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center"/>
              <w:rPr>
                <w:rFonts w:ascii="宋体" w:hAnsi="宋体" w:cs="宋体"/>
                <w:snapToGrid w:val="0"/>
                <w:color w:val="000000"/>
                <w:kern w:val="0"/>
                <w:szCs w:val="21"/>
              </w:rPr>
            </w:pPr>
            <w:r>
              <w:rPr>
                <w:rFonts w:hint="eastAsia" w:ascii="宋体" w:hAnsi="宋体" w:cs="宋体"/>
                <w:snapToGrid w:val="0"/>
                <w:color w:val="000000"/>
                <w:kern w:val="0"/>
                <w:szCs w:val="21"/>
              </w:rPr>
              <w:t>产出</w:t>
            </w:r>
          </w:p>
          <w:p>
            <w:pPr>
              <w:overflowPunct w:val="0"/>
              <w:adjustRightInd w:val="0"/>
              <w:snapToGrid w:val="0"/>
              <w:jc w:val="center"/>
              <w:rPr>
                <w:rFonts w:ascii="宋体" w:hAnsi="宋体" w:cs="宋体"/>
                <w:snapToGrid w:val="0"/>
                <w:color w:val="000000"/>
                <w:kern w:val="0"/>
                <w:szCs w:val="21"/>
              </w:rPr>
            </w:pPr>
            <w:r>
              <w:rPr>
                <w:rFonts w:hint="eastAsia" w:ascii="宋体" w:hAnsi="宋体" w:cs="宋体"/>
                <w:snapToGrid w:val="0"/>
                <w:color w:val="000000"/>
                <w:kern w:val="0"/>
                <w:szCs w:val="21"/>
              </w:rPr>
              <w:t>指标</w:t>
            </w:r>
          </w:p>
        </w:tc>
        <w:tc>
          <w:tcPr>
            <w:tcW w:w="974" w:type="dxa"/>
            <w:vMerge w:val="restart"/>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center"/>
              <w:rPr>
                <w:rFonts w:ascii="宋体" w:hAnsi="宋体" w:cs="宋体"/>
                <w:snapToGrid w:val="0"/>
                <w:color w:val="000000"/>
                <w:kern w:val="0"/>
                <w:szCs w:val="21"/>
              </w:rPr>
            </w:pPr>
            <w:r>
              <w:rPr>
                <w:rFonts w:hint="eastAsia" w:ascii="宋体" w:hAnsi="宋体" w:cs="宋体"/>
                <w:snapToGrid w:val="0"/>
                <w:color w:val="000000"/>
                <w:kern w:val="0"/>
                <w:szCs w:val="21"/>
              </w:rPr>
              <w:t>数量</w:t>
            </w:r>
          </w:p>
          <w:p>
            <w:pPr>
              <w:overflowPunct w:val="0"/>
              <w:adjustRightInd w:val="0"/>
              <w:snapToGrid w:val="0"/>
              <w:jc w:val="center"/>
              <w:rPr>
                <w:rFonts w:ascii="宋体" w:hAnsi="宋体" w:cs="宋体"/>
                <w:snapToGrid w:val="0"/>
                <w:color w:val="000000"/>
                <w:kern w:val="0"/>
                <w:szCs w:val="21"/>
              </w:rPr>
            </w:pPr>
            <w:r>
              <w:rPr>
                <w:rFonts w:hint="eastAsia" w:ascii="宋体" w:hAnsi="宋体" w:cs="宋体"/>
                <w:snapToGrid w:val="0"/>
                <w:color w:val="000000"/>
                <w:kern w:val="0"/>
                <w:szCs w:val="21"/>
              </w:rPr>
              <w:t>指标</w:t>
            </w:r>
          </w:p>
        </w:tc>
        <w:tc>
          <w:tcPr>
            <w:tcW w:w="1516" w:type="dxa"/>
            <w:gridSpan w:val="2"/>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lang w:eastAsia="zh-CN"/>
              </w:rPr>
              <w:t>培训班数量</w:t>
            </w:r>
          </w:p>
        </w:tc>
        <w:tc>
          <w:tcPr>
            <w:tcW w:w="1088" w:type="dxa"/>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lang w:eastAsia="zh-CN"/>
              </w:rPr>
              <w:t>培训班数量</w:t>
            </w:r>
          </w:p>
        </w:tc>
        <w:tc>
          <w:tcPr>
            <w:tcW w:w="823" w:type="dxa"/>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center"/>
              <w:rPr>
                <w:rFonts w:hint="eastAsia" w:ascii="宋体" w:hAnsi="宋体" w:cs="宋体"/>
                <w:snapToGrid w:val="0"/>
                <w:color w:val="000000"/>
                <w:kern w:val="0"/>
                <w:szCs w:val="21"/>
                <w:lang w:val="en-US" w:eastAsia="zh-CN"/>
              </w:rPr>
            </w:pPr>
            <w:r>
              <w:rPr>
                <w:rFonts w:hint="eastAsia" w:ascii="宋体" w:hAnsi="宋体" w:cs="宋体"/>
                <w:snapToGrid w:val="0"/>
                <w:color w:val="000000"/>
                <w:kern w:val="0"/>
                <w:szCs w:val="21"/>
                <w:lang w:val="en-US" w:eastAsia="zh-CN"/>
              </w:rPr>
              <w:t>3</w:t>
            </w:r>
          </w:p>
        </w:tc>
        <w:tc>
          <w:tcPr>
            <w:tcW w:w="459" w:type="dxa"/>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center"/>
              <w:rPr>
                <w:rFonts w:hint="eastAsia" w:ascii="宋体" w:hAnsi="宋体" w:cs="宋体"/>
                <w:snapToGrid w:val="0"/>
                <w:color w:val="000000"/>
                <w:kern w:val="0"/>
                <w:szCs w:val="21"/>
                <w:lang w:val="en-US" w:eastAsia="zh-CN"/>
              </w:rPr>
            </w:pPr>
            <w:r>
              <w:rPr>
                <w:rFonts w:hint="eastAsia" w:ascii="宋体" w:hAnsi="宋体" w:cs="宋体"/>
                <w:snapToGrid w:val="0"/>
                <w:color w:val="000000"/>
                <w:kern w:val="0"/>
                <w:szCs w:val="21"/>
                <w:lang w:val="en-US" w:eastAsia="zh-CN"/>
              </w:rPr>
              <w:t>2</w:t>
            </w:r>
          </w:p>
        </w:tc>
        <w:tc>
          <w:tcPr>
            <w:tcW w:w="359" w:type="dxa"/>
            <w:gridSpan w:val="2"/>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center"/>
              <w:rPr>
                <w:rFonts w:hint="eastAsia" w:ascii="宋体" w:hAnsi="宋体" w:cs="宋体"/>
                <w:snapToGrid w:val="0"/>
                <w:color w:val="000000"/>
                <w:kern w:val="0"/>
                <w:szCs w:val="21"/>
                <w:lang w:val="en-US" w:eastAsia="zh-CN"/>
              </w:rPr>
            </w:pPr>
            <w:r>
              <w:rPr>
                <w:rFonts w:hint="eastAsia" w:ascii="宋体" w:hAnsi="宋体" w:cs="宋体"/>
                <w:snapToGrid w:val="0"/>
                <w:color w:val="000000"/>
                <w:kern w:val="0"/>
                <w:szCs w:val="21"/>
                <w:lang w:val="en-US" w:eastAsia="zh-CN"/>
              </w:rPr>
              <w:t>2</w:t>
            </w:r>
          </w:p>
        </w:tc>
        <w:tc>
          <w:tcPr>
            <w:tcW w:w="1966" w:type="dxa"/>
            <w:gridSpan w:val="2"/>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center"/>
              <w:rPr>
                <w:rFonts w:hint="eastAsia" w:ascii="宋体" w:hAnsi="宋体" w:cs="宋体"/>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086" w:type="dxa"/>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adjustRightInd w:val="0"/>
              <w:snapToGrid w:val="0"/>
              <w:jc w:val="left"/>
              <w:rPr>
                <w:rFonts w:ascii="宋体" w:hAnsi="宋体" w:cs="宋体"/>
                <w:snapToGrid w:val="0"/>
                <w:color w:val="000000"/>
                <w:kern w:val="0"/>
                <w:szCs w:val="21"/>
              </w:rPr>
            </w:pPr>
          </w:p>
        </w:tc>
        <w:tc>
          <w:tcPr>
            <w:tcW w:w="95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adjustRightInd w:val="0"/>
              <w:snapToGrid w:val="0"/>
              <w:jc w:val="left"/>
              <w:rPr>
                <w:rFonts w:ascii="宋体" w:hAnsi="宋体" w:cs="宋体"/>
                <w:snapToGrid w:val="0"/>
                <w:color w:val="000000"/>
                <w:kern w:val="0"/>
                <w:szCs w:val="21"/>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adjustRightInd w:val="0"/>
              <w:snapToGrid w:val="0"/>
              <w:jc w:val="left"/>
              <w:rPr>
                <w:rFonts w:ascii="宋体" w:hAnsi="宋体" w:cs="宋体"/>
                <w:snapToGrid w:val="0"/>
                <w:color w:val="000000"/>
                <w:kern w:val="0"/>
                <w:szCs w:val="21"/>
              </w:rPr>
            </w:pPr>
          </w:p>
        </w:tc>
        <w:tc>
          <w:tcPr>
            <w:tcW w:w="1516" w:type="dxa"/>
            <w:gridSpan w:val="2"/>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lang w:eastAsia="zh-CN"/>
              </w:rPr>
              <w:t>会议数量</w:t>
            </w:r>
          </w:p>
        </w:tc>
        <w:tc>
          <w:tcPr>
            <w:tcW w:w="1088" w:type="dxa"/>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lang w:eastAsia="zh-CN"/>
              </w:rPr>
              <w:t>会议数量</w:t>
            </w:r>
          </w:p>
        </w:tc>
        <w:tc>
          <w:tcPr>
            <w:tcW w:w="823" w:type="dxa"/>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center"/>
              <w:rPr>
                <w:rFonts w:hint="default" w:ascii="宋体" w:hAnsi="宋体" w:cs="宋体"/>
                <w:snapToGrid w:val="0"/>
                <w:color w:val="000000"/>
                <w:kern w:val="0"/>
                <w:szCs w:val="21"/>
                <w:lang w:val="en-US" w:eastAsia="zh-CN"/>
              </w:rPr>
            </w:pPr>
            <w:r>
              <w:rPr>
                <w:rFonts w:hint="eastAsia" w:ascii="宋体" w:hAnsi="宋体" w:cs="宋体"/>
                <w:snapToGrid w:val="0"/>
                <w:color w:val="000000"/>
                <w:kern w:val="0"/>
                <w:szCs w:val="21"/>
                <w:lang w:val="en-US" w:eastAsia="zh-CN"/>
              </w:rPr>
              <w:t>4</w:t>
            </w:r>
          </w:p>
        </w:tc>
        <w:tc>
          <w:tcPr>
            <w:tcW w:w="459" w:type="dxa"/>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center"/>
              <w:rPr>
                <w:rFonts w:hint="eastAsia" w:ascii="宋体" w:hAnsi="宋体" w:cs="宋体"/>
                <w:snapToGrid w:val="0"/>
                <w:color w:val="000000"/>
                <w:kern w:val="0"/>
                <w:szCs w:val="21"/>
                <w:lang w:val="en-US" w:eastAsia="zh-CN"/>
              </w:rPr>
            </w:pPr>
            <w:r>
              <w:rPr>
                <w:rFonts w:hint="eastAsia" w:ascii="宋体" w:hAnsi="宋体" w:cs="宋体"/>
                <w:snapToGrid w:val="0"/>
                <w:color w:val="000000"/>
                <w:kern w:val="0"/>
                <w:szCs w:val="21"/>
                <w:lang w:val="en-US" w:eastAsia="zh-CN"/>
              </w:rPr>
              <w:t>2</w:t>
            </w:r>
          </w:p>
        </w:tc>
        <w:tc>
          <w:tcPr>
            <w:tcW w:w="359" w:type="dxa"/>
            <w:gridSpan w:val="2"/>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center"/>
              <w:rPr>
                <w:rFonts w:hint="eastAsia" w:ascii="宋体" w:hAnsi="宋体" w:cs="宋体"/>
                <w:snapToGrid w:val="0"/>
                <w:color w:val="000000"/>
                <w:kern w:val="0"/>
                <w:szCs w:val="21"/>
                <w:lang w:val="en-US" w:eastAsia="zh-CN"/>
              </w:rPr>
            </w:pPr>
            <w:r>
              <w:rPr>
                <w:rFonts w:hint="eastAsia" w:ascii="宋体" w:hAnsi="宋体" w:cs="宋体"/>
                <w:snapToGrid w:val="0"/>
                <w:color w:val="000000"/>
                <w:kern w:val="0"/>
                <w:szCs w:val="21"/>
                <w:lang w:val="en-US" w:eastAsia="zh-CN"/>
              </w:rPr>
              <w:t>2</w:t>
            </w:r>
          </w:p>
        </w:tc>
        <w:tc>
          <w:tcPr>
            <w:tcW w:w="1966" w:type="dxa"/>
            <w:gridSpan w:val="2"/>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center"/>
              <w:rPr>
                <w:rFonts w:hint="eastAsia" w:ascii="宋体" w:hAnsi="宋体" w:cs="宋体"/>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86" w:type="dxa"/>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adjustRightInd w:val="0"/>
              <w:snapToGrid w:val="0"/>
              <w:jc w:val="left"/>
              <w:rPr>
                <w:rFonts w:ascii="宋体" w:hAnsi="宋体" w:cs="宋体"/>
                <w:snapToGrid w:val="0"/>
                <w:color w:val="000000"/>
                <w:kern w:val="0"/>
                <w:szCs w:val="21"/>
              </w:rPr>
            </w:pPr>
          </w:p>
        </w:tc>
        <w:tc>
          <w:tcPr>
            <w:tcW w:w="95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adjustRightInd w:val="0"/>
              <w:snapToGrid w:val="0"/>
              <w:jc w:val="left"/>
              <w:rPr>
                <w:rFonts w:ascii="宋体" w:hAnsi="宋体" w:cs="宋体"/>
                <w:snapToGrid w:val="0"/>
                <w:color w:val="000000"/>
                <w:kern w:val="0"/>
                <w:szCs w:val="21"/>
              </w:rPr>
            </w:pPr>
          </w:p>
        </w:tc>
        <w:tc>
          <w:tcPr>
            <w:tcW w:w="974" w:type="dxa"/>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center"/>
              <w:rPr>
                <w:rFonts w:ascii="宋体" w:hAnsi="宋体" w:cs="宋体"/>
                <w:snapToGrid w:val="0"/>
                <w:color w:val="000000"/>
                <w:kern w:val="0"/>
                <w:szCs w:val="21"/>
              </w:rPr>
            </w:pPr>
            <w:r>
              <w:rPr>
                <w:rFonts w:hint="eastAsia" w:ascii="宋体" w:hAnsi="宋体" w:cs="宋体"/>
                <w:snapToGrid w:val="0"/>
                <w:color w:val="000000"/>
                <w:kern w:val="0"/>
                <w:szCs w:val="21"/>
              </w:rPr>
              <w:t>质量</w:t>
            </w:r>
          </w:p>
          <w:p>
            <w:pPr>
              <w:overflowPunct w:val="0"/>
              <w:adjustRightInd w:val="0"/>
              <w:snapToGrid w:val="0"/>
              <w:jc w:val="center"/>
              <w:rPr>
                <w:rFonts w:ascii="宋体" w:hAnsi="宋体" w:cs="宋体"/>
                <w:snapToGrid w:val="0"/>
                <w:color w:val="000000"/>
                <w:kern w:val="0"/>
                <w:szCs w:val="21"/>
              </w:rPr>
            </w:pPr>
            <w:r>
              <w:rPr>
                <w:rFonts w:hint="eastAsia" w:ascii="宋体" w:hAnsi="宋体" w:cs="宋体"/>
                <w:snapToGrid w:val="0"/>
                <w:color w:val="000000"/>
                <w:kern w:val="0"/>
                <w:szCs w:val="21"/>
              </w:rPr>
              <w:t>指标</w:t>
            </w:r>
          </w:p>
        </w:tc>
        <w:tc>
          <w:tcPr>
            <w:tcW w:w="1516" w:type="dxa"/>
            <w:gridSpan w:val="2"/>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参加</w:t>
            </w:r>
            <w:r>
              <w:rPr>
                <w:rFonts w:hint="eastAsia" w:ascii="宋体" w:hAnsi="宋体" w:cs="宋体"/>
                <w:snapToGrid w:val="0"/>
                <w:color w:val="000000"/>
                <w:kern w:val="0"/>
                <w:szCs w:val="21"/>
                <w:lang w:val="en-US" w:eastAsia="zh-CN"/>
              </w:rPr>
              <w:t>培训</w:t>
            </w:r>
            <w:r>
              <w:rPr>
                <w:rFonts w:hint="eastAsia" w:ascii="宋体" w:hAnsi="宋体" w:cs="宋体"/>
                <w:snapToGrid w:val="0"/>
                <w:color w:val="000000"/>
                <w:kern w:val="0"/>
                <w:szCs w:val="21"/>
              </w:rPr>
              <w:t>人员出勤率</w:t>
            </w:r>
          </w:p>
        </w:tc>
        <w:tc>
          <w:tcPr>
            <w:tcW w:w="1088" w:type="dxa"/>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参加</w:t>
            </w:r>
            <w:r>
              <w:rPr>
                <w:rFonts w:hint="eastAsia" w:ascii="宋体" w:hAnsi="宋体" w:cs="宋体"/>
                <w:snapToGrid w:val="0"/>
                <w:color w:val="000000"/>
                <w:kern w:val="0"/>
                <w:szCs w:val="21"/>
                <w:lang w:val="en-US" w:eastAsia="zh-CN"/>
              </w:rPr>
              <w:t>培训、会议</w:t>
            </w:r>
            <w:r>
              <w:rPr>
                <w:rFonts w:hint="eastAsia" w:ascii="宋体" w:hAnsi="宋体" w:cs="宋体"/>
                <w:snapToGrid w:val="0"/>
                <w:color w:val="000000"/>
                <w:kern w:val="0"/>
                <w:szCs w:val="21"/>
              </w:rPr>
              <w:t>人员出勤率</w:t>
            </w:r>
          </w:p>
        </w:tc>
        <w:tc>
          <w:tcPr>
            <w:tcW w:w="823" w:type="dxa"/>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center"/>
              <w:rPr>
                <w:rFonts w:hint="default" w:ascii="宋体" w:hAnsi="宋体" w:cs="宋体"/>
                <w:snapToGrid w:val="0"/>
                <w:color w:val="000000"/>
                <w:kern w:val="0"/>
                <w:szCs w:val="21"/>
                <w:lang w:val="en-US" w:eastAsia="zh-CN"/>
              </w:rPr>
            </w:pPr>
            <w:r>
              <w:rPr>
                <w:rFonts w:hint="eastAsia" w:ascii="宋体" w:hAnsi="宋体" w:cs="宋体"/>
                <w:snapToGrid w:val="0"/>
                <w:color w:val="000000"/>
                <w:kern w:val="0"/>
                <w:szCs w:val="21"/>
                <w:lang w:val="en-US" w:eastAsia="zh-CN"/>
              </w:rPr>
              <w:t>90%</w:t>
            </w:r>
          </w:p>
        </w:tc>
        <w:tc>
          <w:tcPr>
            <w:tcW w:w="459" w:type="dxa"/>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center"/>
              <w:rPr>
                <w:rFonts w:hint="eastAsia" w:ascii="宋体" w:hAnsi="宋体" w:cs="宋体"/>
                <w:snapToGrid w:val="0"/>
                <w:color w:val="000000"/>
                <w:kern w:val="0"/>
                <w:szCs w:val="21"/>
                <w:lang w:val="en-US" w:eastAsia="zh-CN"/>
              </w:rPr>
            </w:pPr>
            <w:r>
              <w:rPr>
                <w:rFonts w:hint="eastAsia" w:ascii="宋体" w:hAnsi="宋体" w:cs="宋体"/>
                <w:snapToGrid w:val="0"/>
                <w:color w:val="000000"/>
                <w:kern w:val="0"/>
                <w:szCs w:val="21"/>
                <w:lang w:val="en-US" w:eastAsia="zh-CN"/>
              </w:rPr>
              <w:t>1</w:t>
            </w:r>
          </w:p>
        </w:tc>
        <w:tc>
          <w:tcPr>
            <w:tcW w:w="359" w:type="dxa"/>
            <w:gridSpan w:val="2"/>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center"/>
              <w:rPr>
                <w:rFonts w:hint="eastAsia" w:ascii="宋体" w:hAnsi="宋体" w:cs="宋体"/>
                <w:snapToGrid w:val="0"/>
                <w:color w:val="000000"/>
                <w:kern w:val="0"/>
                <w:szCs w:val="21"/>
                <w:lang w:val="en-US" w:eastAsia="zh-CN"/>
              </w:rPr>
            </w:pPr>
            <w:r>
              <w:rPr>
                <w:rFonts w:hint="eastAsia" w:ascii="宋体" w:hAnsi="宋体" w:cs="宋体"/>
                <w:snapToGrid w:val="0"/>
                <w:color w:val="000000"/>
                <w:kern w:val="0"/>
                <w:szCs w:val="21"/>
                <w:lang w:val="en-US" w:eastAsia="zh-CN"/>
              </w:rPr>
              <w:t>1</w:t>
            </w:r>
          </w:p>
        </w:tc>
        <w:tc>
          <w:tcPr>
            <w:tcW w:w="1966" w:type="dxa"/>
            <w:gridSpan w:val="2"/>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center"/>
              <w:rPr>
                <w:rFonts w:hint="eastAsia" w:ascii="宋体" w:hAnsi="宋体" w:cs="宋体"/>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jc w:val="center"/>
        </w:trPr>
        <w:tc>
          <w:tcPr>
            <w:tcW w:w="1086" w:type="dxa"/>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adjustRightInd w:val="0"/>
              <w:snapToGrid w:val="0"/>
              <w:jc w:val="left"/>
              <w:rPr>
                <w:rFonts w:ascii="宋体" w:hAnsi="宋体" w:cs="宋体"/>
                <w:snapToGrid w:val="0"/>
                <w:color w:val="000000"/>
                <w:kern w:val="0"/>
                <w:szCs w:val="21"/>
              </w:rPr>
            </w:pPr>
          </w:p>
        </w:tc>
        <w:tc>
          <w:tcPr>
            <w:tcW w:w="95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adjustRightInd w:val="0"/>
              <w:snapToGrid w:val="0"/>
              <w:jc w:val="left"/>
              <w:rPr>
                <w:rFonts w:ascii="宋体" w:hAnsi="宋体" w:cs="宋体"/>
                <w:snapToGrid w:val="0"/>
                <w:color w:val="000000"/>
                <w:kern w:val="0"/>
                <w:szCs w:val="21"/>
              </w:rPr>
            </w:pPr>
          </w:p>
        </w:tc>
        <w:tc>
          <w:tcPr>
            <w:tcW w:w="974" w:type="dxa"/>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center"/>
              <w:rPr>
                <w:rFonts w:ascii="宋体" w:hAnsi="宋体" w:cs="宋体"/>
                <w:snapToGrid w:val="0"/>
                <w:color w:val="000000"/>
                <w:kern w:val="0"/>
                <w:szCs w:val="21"/>
              </w:rPr>
            </w:pPr>
            <w:r>
              <w:rPr>
                <w:rFonts w:hint="eastAsia" w:ascii="宋体" w:hAnsi="宋体" w:cs="宋体"/>
                <w:snapToGrid w:val="0"/>
                <w:color w:val="000000"/>
                <w:kern w:val="0"/>
                <w:szCs w:val="21"/>
              </w:rPr>
              <w:t>时效</w:t>
            </w:r>
          </w:p>
          <w:p>
            <w:pPr>
              <w:overflowPunct w:val="0"/>
              <w:adjustRightInd w:val="0"/>
              <w:snapToGrid w:val="0"/>
              <w:jc w:val="center"/>
              <w:rPr>
                <w:rFonts w:ascii="宋体" w:hAnsi="宋体" w:cs="宋体"/>
                <w:snapToGrid w:val="0"/>
                <w:color w:val="000000"/>
                <w:kern w:val="0"/>
                <w:szCs w:val="21"/>
              </w:rPr>
            </w:pPr>
            <w:r>
              <w:rPr>
                <w:rFonts w:hint="eastAsia" w:ascii="宋体" w:hAnsi="宋体" w:cs="宋体"/>
                <w:snapToGrid w:val="0"/>
                <w:color w:val="000000"/>
                <w:kern w:val="0"/>
                <w:szCs w:val="21"/>
              </w:rPr>
              <w:t>指标</w:t>
            </w:r>
          </w:p>
        </w:tc>
        <w:tc>
          <w:tcPr>
            <w:tcW w:w="1516" w:type="dxa"/>
            <w:gridSpan w:val="2"/>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活动完成时限</w:t>
            </w:r>
          </w:p>
        </w:tc>
        <w:tc>
          <w:tcPr>
            <w:tcW w:w="1088" w:type="dxa"/>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截止到年度目标任务完成率</w:t>
            </w:r>
          </w:p>
        </w:tc>
        <w:tc>
          <w:tcPr>
            <w:tcW w:w="823" w:type="dxa"/>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lang w:val="en-US" w:eastAsia="zh-CN"/>
              </w:rPr>
              <w:t>100%</w:t>
            </w:r>
          </w:p>
        </w:tc>
        <w:tc>
          <w:tcPr>
            <w:tcW w:w="459" w:type="dxa"/>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center"/>
              <w:rPr>
                <w:rFonts w:hint="eastAsia" w:ascii="宋体" w:hAnsi="宋体" w:cs="宋体"/>
                <w:snapToGrid w:val="0"/>
                <w:color w:val="000000"/>
                <w:kern w:val="0"/>
                <w:szCs w:val="21"/>
                <w:lang w:val="en-US" w:eastAsia="zh-CN"/>
              </w:rPr>
            </w:pPr>
            <w:r>
              <w:rPr>
                <w:rFonts w:hint="eastAsia" w:ascii="宋体" w:hAnsi="宋体" w:cs="宋体"/>
                <w:snapToGrid w:val="0"/>
                <w:color w:val="000000"/>
                <w:kern w:val="0"/>
                <w:szCs w:val="21"/>
                <w:lang w:val="en-US" w:eastAsia="zh-CN"/>
              </w:rPr>
              <w:t>1</w:t>
            </w:r>
          </w:p>
        </w:tc>
        <w:tc>
          <w:tcPr>
            <w:tcW w:w="359" w:type="dxa"/>
            <w:gridSpan w:val="2"/>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center"/>
              <w:rPr>
                <w:rFonts w:hint="eastAsia" w:ascii="宋体" w:hAnsi="宋体" w:cs="宋体"/>
                <w:snapToGrid w:val="0"/>
                <w:color w:val="000000"/>
                <w:kern w:val="0"/>
                <w:szCs w:val="21"/>
                <w:lang w:val="en-US" w:eastAsia="zh-CN"/>
              </w:rPr>
            </w:pPr>
            <w:r>
              <w:rPr>
                <w:rFonts w:hint="eastAsia" w:ascii="宋体" w:hAnsi="宋体" w:cs="宋体"/>
                <w:snapToGrid w:val="0"/>
                <w:color w:val="000000"/>
                <w:kern w:val="0"/>
                <w:szCs w:val="21"/>
                <w:lang w:val="en-US" w:eastAsia="zh-CN"/>
              </w:rPr>
              <w:t>1</w:t>
            </w:r>
          </w:p>
        </w:tc>
        <w:tc>
          <w:tcPr>
            <w:tcW w:w="1966" w:type="dxa"/>
            <w:gridSpan w:val="2"/>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center"/>
              <w:rPr>
                <w:rFonts w:hint="eastAsia" w:ascii="宋体" w:hAnsi="宋体" w:cs="宋体"/>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086" w:type="dxa"/>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adjustRightInd w:val="0"/>
              <w:snapToGrid w:val="0"/>
              <w:jc w:val="left"/>
              <w:rPr>
                <w:rFonts w:ascii="宋体" w:hAnsi="宋体" w:cs="宋体"/>
                <w:snapToGrid w:val="0"/>
                <w:color w:val="000000"/>
                <w:kern w:val="0"/>
                <w:szCs w:val="21"/>
              </w:rPr>
            </w:pPr>
          </w:p>
        </w:tc>
        <w:tc>
          <w:tcPr>
            <w:tcW w:w="95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adjustRightInd w:val="0"/>
              <w:snapToGrid w:val="0"/>
              <w:jc w:val="left"/>
              <w:rPr>
                <w:rFonts w:ascii="宋体" w:hAnsi="宋体" w:cs="宋体"/>
                <w:snapToGrid w:val="0"/>
                <w:color w:val="000000"/>
                <w:kern w:val="0"/>
                <w:szCs w:val="21"/>
              </w:rPr>
            </w:pPr>
          </w:p>
        </w:tc>
        <w:tc>
          <w:tcPr>
            <w:tcW w:w="974" w:type="dxa"/>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center"/>
              <w:rPr>
                <w:rFonts w:ascii="宋体" w:hAnsi="宋体" w:cs="宋体"/>
                <w:snapToGrid w:val="0"/>
                <w:color w:val="000000"/>
                <w:kern w:val="0"/>
                <w:szCs w:val="21"/>
              </w:rPr>
            </w:pPr>
            <w:r>
              <w:rPr>
                <w:rFonts w:hint="eastAsia" w:ascii="宋体" w:hAnsi="宋体" w:cs="宋体"/>
                <w:snapToGrid w:val="0"/>
                <w:color w:val="000000"/>
                <w:kern w:val="0"/>
                <w:szCs w:val="21"/>
              </w:rPr>
              <w:t>成本</w:t>
            </w:r>
          </w:p>
          <w:p>
            <w:pPr>
              <w:overflowPunct w:val="0"/>
              <w:adjustRightInd w:val="0"/>
              <w:snapToGrid w:val="0"/>
              <w:jc w:val="center"/>
              <w:rPr>
                <w:rFonts w:ascii="宋体" w:hAnsi="宋体" w:cs="宋体"/>
                <w:snapToGrid w:val="0"/>
                <w:color w:val="000000"/>
                <w:kern w:val="0"/>
                <w:szCs w:val="21"/>
              </w:rPr>
            </w:pPr>
            <w:r>
              <w:rPr>
                <w:rFonts w:hint="eastAsia" w:ascii="宋体" w:hAnsi="宋体" w:cs="宋体"/>
                <w:snapToGrid w:val="0"/>
                <w:color w:val="000000"/>
                <w:kern w:val="0"/>
                <w:szCs w:val="21"/>
              </w:rPr>
              <w:t>指标</w:t>
            </w:r>
          </w:p>
        </w:tc>
        <w:tc>
          <w:tcPr>
            <w:tcW w:w="1516" w:type="dxa"/>
            <w:gridSpan w:val="2"/>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活动支出金额数量</w:t>
            </w:r>
          </w:p>
        </w:tc>
        <w:tc>
          <w:tcPr>
            <w:tcW w:w="1088" w:type="dxa"/>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lang w:val="en-US" w:eastAsia="zh-CN"/>
              </w:rPr>
              <w:t>培训、会议</w:t>
            </w:r>
            <w:r>
              <w:rPr>
                <w:rFonts w:hint="eastAsia" w:ascii="宋体" w:hAnsi="宋体" w:cs="宋体"/>
                <w:snapToGrid w:val="0"/>
                <w:color w:val="000000"/>
                <w:kern w:val="0"/>
                <w:szCs w:val="21"/>
              </w:rPr>
              <w:t>支出金额数量</w:t>
            </w:r>
          </w:p>
        </w:tc>
        <w:tc>
          <w:tcPr>
            <w:tcW w:w="823" w:type="dxa"/>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center"/>
              <w:rPr>
                <w:rFonts w:hint="default" w:ascii="宋体" w:hAnsi="宋体" w:cs="宋体"/>
                <w:snapToGrid w:val="0"/>
                <w:color w:val="000000"/>
                <w:kern w:val="0"/>
                <w:szCs w:val="21"/>
                <w:lang w:val="en-US" w:eastAsia="zh-CN"/>
              </w:rPr>
            </w:pPr>
            <w:r>
              <w:rPr>
                <w:rFonts w:hint="eastAsia" w:ascii="宋体" w:hAnsi="宋体" w:cs="宋体"/>
                <w:snapToGrid w:val="0"/>
                <w:color w:val="000000"/>
                <w:kern w:val="0"/>
                <w:szCs w:val="21"/>
                <w:lang w:val="en-US" w:eastAsia="zh-CN"/>
              </w:rPr>
              <w:t>20.88</w:t>
            </w:r>
          </w:p>
        </w:tc>
        <w:tc>
          <w:tcPr>
            <w:tcW w:w="459" w:type="dxa"/>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center"/>
              <w:rPr>
                <w:rFonts w:hint="eastAsia" w:ascii="宋体" w:hAnsi="宋体" w:cs="宋体"/>
                <w:snapToGrid w:val="0"/>
                <w:color w:val="000000"/>
                <w:kern w:val="0"/>
                <w:szCs w:val="21"/>
                <w:lang w:val="en-US" w:eastAsia="zh-CN"/>
              </w:rPr>
            </w:pPr>
            <w:r>
              <w:rPr>
                <w:rFonts w:hint="eastAsia" w:ascii="宋体" w:hAnsi="宋体" w:cs="宋体"/>
                <w:snapToGrid w:val="0"/>
                <w:color w:val="000000"/>
                <w:kern w:val="0"/>
                <w:szCs w:val="21"/>
                <w:lang w:val="en-US" w:eastAsia="zh-CN"/>
              </w:rPr>
              <w:t>2</w:t>
            </w:r>
          </w:p>
        </w:tc>
        <w:tc>
          <w:tcPr>
            <w:tcW w:w="359" w:type="dxa"/>
            <w:gridSpan w:val="2"/>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center"/>
              <w:rPr>
                <w:rFonts w:hint="eastAsia" w:ascii="宋体" w:hAnsi="宋体" w:cs="宋体"/>
                <w:snapToGrid w:val="0"/>
                <w:color w:val="000000"/>
                <w:kern w:val="0"/>
                <w:szCs w:val="21"/>
                <w:lang w:val="en-US" w:eastAsia="zh-CN"/>
              </w:rPr>
            </w:pPr>
            <w:r>
              <w:rPr>
                <w:rFonts w:hint="eastAsia" w:ascii="宋体" w:hAnsi="宋体" w:cs="宋体"/>
                <w:snapToGrid w:val="0"/>
                <w:color w:val="000000"/>
                <w:kern w:val="0"/>
                <w:szCs w:val="21"/>
                <w:lang w:val="en-US" w:eastAsia="zh-CN"/>
              </w:rPr>
              <w:t>1</w:t>
            </w:r>
          </w:p>
        </w:tc>
        <w:tc>
          <w:tcPr>
            <w:tcW w:w="1966" w:type="dxa"/>
            <w:gridSpan w:val="2"/>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center"/>
              <w:rPr>
                <w:rFonts w:hint="default" w:ascii="宋体" w:hAnsi="宋体" w:cs="宋体"/>
                <w:snapToGrid w:val="0"/>
                <w:color w:val="000000"/>
                <w:kern w:val="0"/>
                <w:szCs w:val="21"/>
                <w:lang w:val="en-US" w:eastAsia="zh-CN"/>
              </w:rPr>
            </w:pPr>
            <w:r>
              <w:rPr>
                <w:rFonts w:hint="eastAsia" w:ascii="宋体" w:hAnsi="宋体" w:cs="宋体"/>
                <w:snapToGrid w:val="0"/>
                <w:color w:val="000000"/>
                <w:kern w:val="0"/>
                <w:szCs w:val="21"/>
                <w:lang w:eastAsia="zh-CN"/>
              </w:rPr>
              <w:t>因疫情支出进度缓慢，培训、</w:t>
            </w:r>
            <w:r>
              <w:rPr>
                <w:rFonts w:hint="eastAsia" w:ascii="宋体" w:hAnsi="宋体" w:cs="宋体"/>
                <w:snapToGrid w:val="0"/>
                <w:color w:val="000000"/>
                <w:kern w:val="0"/>
                <w:szCs w:val="21"/>
                <w:lang w:val="en-US" w:eastAsia="zh-CN"/>
              </w:rPr>
              <w:t>会议数量相应减少。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6" w:hRule="atLeast"/>
          <w:jc w:val="center"/>
        </w:trPr>
        <w:tc>
          <w:tcPr>
            <w:tcW w:w="1086" w:type="dxa"/>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adjustRightInd w:val="0"/>
              <w:snapToGrid w:val="0"/>
              <w:jc w:val="left"/>
              <w:rPr>
                <w:rFonts w:ascii="宋体" w:hAnsi="宋体" w:cs="宋体"/>
                <w:snapToGrid w:val="0"/>
                <w:color w:val="000000"/>
                <w:kern w:val="0"/>
                <w:szCs w:val="21"/>
              </w:rPr>
            </w:pPr>
          </w:p>
        </w:tc>
        <w:tc>
          <w:tcPr>
            <w:tcW w:w="95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adjustRightInd w:val="0"/>
              <w:snapToGrid w:val="0"/>
              <w:jc w:val="left"/>
              <w:rPr>
                <w:rFonts w:ascii="宋体" w:hAnsi="宋体" w:cs="宋体"/>
                <w:snapToGrid w:val="0"/>
                <w:color w:val="000000"/>
                <w:kern w:val="0"/>
                <w:szCs w:val="21"/>
              </w:rPr>
            </w:pPr>
          </w:p>
        </w:tc>
        <w:tc>
          <w:tcPr>
            <w:tcW w:w="974" w:type="dxa"/>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center"/>
              <w:rPr>
                <w:rFonts w:ascii="宋体" w:hAnsi="宋体" w:cs="宋体"/>
                <w:snapToGrid w:val="0"/>
                <w:color w:val="000000"/>
                <w:kern w:val="0"/>
                <w:szCs w:val="21"/>
              </w:rPr>
            </w:pPr>
            <w:r>
              <w:rPr>
                <w:rFonts w:hint="eastAsia" w:ascii="宋体" w:hAnsi="宋体" w:cs="宋体"/>
                <w:snapToGrid w:val="0"/>
                <w:color w:val="000000"/>
                <w:kern w:val="0"/>
                <w:szCs w:val="21"/>
              </w:rPr>
              <w:t>社会</w:t>
            </w:r>
          </w:p>
          <w:p>
            <w:pPr>
              <w:overflowPunct w:val="0"/>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效益</w:t>
            </w:r>
          </w:p>
          <w:p>
            <w:pPr>
              <w:overflowPunct w:val="0"/>
              <w:adjustRightInd w:val="0"/>
              <w:snapToGrid w:val="0"/>
              <w:jc w:val="center"/>
              <w:rPr>
                <w:rFonts w:ascii="宋体" w:hAnsi="宋体" w:cs="宋体"/>
                <w:snapToGrid w:val="0"/>
                <w:color w:val="000000"/>
                <w:kern w:val="0"/>
                <w:szCs w:val="21"/>
              </w:rPr>
            </w:pPr>
            <w:r>
              <w:rPr>
                <w:rFonts w:hint="eastAsia" w:ascii="宋体" w:hAnsi="宋体" w:cs="宋体"/>
                <w:snapToGrid w:val="0"/>
                <w:color w:val="000000"/>
                <w:kern w:val="0"/>
                <w:szCs w:val="21"/>
              </w:rPr>
              <w:t>指标</w:t>
            </w:r>
          </w:p>
        </w:tc>
        <w:tc>
          <w:tcPr>
            <w:tcW w:w="1516" w:type="dxa"/>
            <w:gridSpan w:val="2"/>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lang w:eastAsia="zh-CN"/>
              </w:rPr>
              <w:t>不断提高青少年思想认识，坚定理想信念，听党话、跟党走。</w:t>
            </w:r>
          </w:p>
        </w:tc>
        <w:tc>
          <w:tcPr>
            <w:tcW w:w="1088" w:type="dxa"/>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lang w:eastAsia="zh-CN"/>
              </w:rPr>
              <w:t>不断提高青少年思想认识，坚定理想信念，听党话、跟党走。</w:t>
            </w:r>
          </w:p>
        </w:tc>
        <w:tc>
          <w:tcPr>
            <w:tcW w:w="823" w:type="dxa"/>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center"/>
              <w:rPr>
                <w:rFonts w:hint="default" w:ascii="宋体" w:hAnsi="宋体" w:cs="宋体"/>
                <w:snapToGrid w:val="0"/>
                <w:color w:val="000000"/>
                <w:kern w:val="0"/>
                <w:szCs w:val="21"/>
                <w:lang w:val="en-US" w:eastAsia="zh-CN"/>
              </w:rPr>
            </w:pPr>
            <w:r>
              <w:rPr>
                <w:rFonts w:hint="eastAsia" w:ascii="宋体" w:hAnsi="宋体" w:cs="宋体"/>
                <w:snapToGrid w:val="0"/>
                <w:color w:val="000000"/>
                <w:kern w:val="0"/>
                <w:szCs w:val="21"/>
                <w:lang w:val="en-US" w:eastAsia="zh-CN"/>
              </w:rPr>
              <w:t>90%</w:t>
            </w:r>
          </w:p>
        </w:tc>
        <w:tc>
          <w:tcPr>
            <w:tcW w:w="459" w:type="dxa"/>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center"/>
              <w:rPr>
                <w:rFonts w:hint="eastAsia" w:ascii="宋体" w:hAnsi="宋体" w:cs="宋体"/>
                <w:snapToGrid w:val="0"/>
                <w:color w:val="000000"/>
                <w:kern w:val="0"/>
                <w:szCs w:val="21"/>
                <w:lang w:val="en-US" w:eastAsia="zh-CN"/>
              </w:rPr>
            </w:pPr>
            <w:r>
              <w:rPr>
                <w:rFonts w:hint="eastAsia" w:ascii="宋体" w:hAnsi="宋体" w:cs="宋体"/>
                <w:snapToGrid w:val="0"/>
                <w:color w:val="000000"/>
                <w:kern w:val="0"/>
                <w:szCs w:val="21"/>
                <w:lang w:val="en-US" w:eastAsia="zh-CN"/>
              </w:rPr>
              <w:t>1</w:t>
            </w:r>
          </w:p>
        </w:tc>
        <w:tc>
          <w:tcPr>
            <w:tcW w:w="359" w:type="dxa"/>
            <w:gridSpan w:val="2"/>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center"/>
              <w:rPr>
                <w:rFonts w:hint="eastAsia" w:ascii="宋体" w:hAnsi="宋体" w:cs="宋体"/>
                <w:snapToGrid w:val="0"/>
                <w:color w:val="000000"/>
                <w:kern w:val="0"/>
                <w:szCs w:val="21"/>
                <w:lang w:val="en-US" w:eastAsia="zh-CN"/>
              </w:rPr>
            </w:pPr>
            <w:r>
              <w:rPr>
                <w:rFonts w:hint="eastAsia" w:ascii="宋体" w:hAnsi="宋体" w:cs="宋体"/>
                <w:snapToGrid w:val="0"/>
                <w:color w:val="000000"/>
                <w:kern w:val="0"/>
                <w:szCs w:val="21"/>
                <w:lang w:val="en-US" w:eastAsia="zh-CN"/>
              </w:rPr>
              <w:t>1</w:t>
            </w:r>
          </w:p>
        </w:tc>
        <w:tc>
          <w:tcPr>
            <w:tcW w:w="1966" w:type="dxa"/>
            <w:gridSpan w:val="2"/>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center"/>
              <w:rPr>
                <w:rFonts w:hint="eastAsia" w:ascii="宋体" w:hAnsi="宋体" w:cs="宋体"/>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jc w:val="center"/>
        </w:trPr>
        <w:tc>
          <w:tcPr>
            <w:tcW w:w="1086" w:type="dxa"/>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adjustRightInd w:val="0"/>
              <w:snapToGrid w:val="0"/>
              <w:jc w:val="left"/>
              <w:rPr>
                <w:rFonts w:ascii="宋体" w:hAnsi="宋体" w:cs="宋体"/>
                <w:snapToGrid w:val="0"/>
                <w:color w:val="000000"/>
                <w:kern w:val="0"/>
                <w:szCs w:val="21"/>
              </w:rPr>
            </w:pPr>
          </w:p>
        </w:tc>
        <w:tc>
          <w:tcPr>
            <w:tcW w:w="950" w:type="dxa"/>
            <w:gridSpan w:val="2"/>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center"/>
              <w:rPr>
                <w:rFonts w:ascii="宋体" w:hAnsi="宋体" w:cs="宋体"/>
                <w:snapToGrid w:val="0"/>
                <w:color w:val="000000"/>
                <w:kern w:val="0"/>
                <w:szCs w:val="21"/>
              </w:rPr>
            </w:pPr>
            <w:r>
              <w:rPr>
                <w:rFonts w:hint="eastAsia" w:ascii="宋体" w:hAnsi="宋体" w:cs="宋体"/>
                <w:snapToGrid w:val="0"/>
                <w:color w:val="000000"/>
                <w:kern w:val="0"/>
                <w:szCs w:val="21"/>
              </w:rPr>
              <w:t>满意度</w:t>
            </w:r>
          </w:p>
          <w:p>
            <w:pPr>
              <w:overflowPunct w:val="0"/>
              <w:adjustRightInd w:val="0"/>
              <w:snapToGrid w:val="0"/>
              <w:jc w:val="center"/>
              <w:rPr>
                <w:rFonts w:ascii="宋体" w:hAnsi="宋体" w:cs="宋体"/>
                <w:snapToGrid w:val="0"/>
                <w:color w:val="000000"/>
                <w:kern w:val="0"/>
                <w:szCs w:val="21"/>
              </w:rPr>
            </w:pPr>
            <w:r>
              <w:rPr>
                <w:rFonts w:hint="eastAsia" w:ascii="宋体" w:hAnsi="宋体" w:cs="宋体"/>
                <w:snapToGrid w:val="0"/>
                <w:color w:val="000000"/>
                <w:kern w:val="0"/>
                <w:szCs w:val="21"/>
              </w:rPr>
              <w:t>指标</w:t>
            </w:r>
          </w:p>
        </w:tc>
        <w:tc>
          <w:tcPr>
            <w:tcW w:w="974" w:type="dxa"/>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center"/>
              <w:rPr>
                <w:rFonts w:ascii="宋体" w:hAnsi="宋体" w:cs="宋体"/>
                <w:snapToGrid w:val="0"/>
                <w:color w:val="000000"/>
                <w:kern w:val="0"/>
                <w:szCs w:val="21"/>
              </w:rPr>
            </w:pPr>
            <w:r>
              <w:rPr>
                <w:rFonts w:hint="eastAsia" w:ascii="宋体" w:hAnsi="宋体" w:cs="宋体"/>
                <w:snapToGrid w:val="0"/>
                <w:color w:val="000000"/>
                <w:kern w:val="0"/>
                <w:szCs w:val="21"/>
              </w:rPr>
              <w:t>服务对象满意度指标</w:t>
            </w:r>
          </w:p>
        </w:tc>
        <w:tc>
          <w:tcPr>
            <w:tcW w:w="1516" w:type="dxa"/>
            <w:gridSpan w:val="2"/>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服务对象满意程度</w:t>
            </w:r>
          </w:p>
        </w:tc>
        <w:tc>
          <w:tcPr>
            <w:tcW w:w="1088" w:type="dxa"/>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lang w:eastAsia="zh-CN"/>
              </w:rPr>
              <w:t>参与思想引领活动对象满意数占总数的比率</w:t>
            </w:r>
          </w:p>
        </w:tc>
        <w:tc>
          <w:tcPr>
            <w:tcW w:w="823" w:type="dxa"/>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90%</w:t>
            </w:r>
          </w:p>
        </w:tc>
        <w:tc>
          <w:tcPr>
            <w:tcW w:w="459" w:type="dxa"/>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center"/>
              <w:rPr>
                <w:rFonts w:hint="eastAsia" w:ascii="宋体" w:hAnsi="宋体" w:cs="宋体"/>
                <w:snapToGrid w:val="0"/>
                <w:color w:val="000000"/>
                <w:kern w:val="0"/>
                <w:szCs w:val="21"/>
                <w:lang w:val="en-US" w:eastAsia="zh-CN"/>
              </w:rPr>
            </w:pPr>
            <w:r>
              <w:rPr>
                <w:rFonts w:hint="eastAsia" w:ascii="宋体" w:hAnsi="宋体" w:cs="宋体"/>
                <w:snapToGrid w:val="0"/>
                <w:color w:val="000000"/>
                <w:kern w:val="0"/>
                <w:szCs w:val="21"/>
                <w:lang w:val="en-US" w:eastAsia="zh-CN"/>
              </w:rPr>
              <w:t>1</w:t>
            </w:r>
          </w:p>
        </w:tc>
        <w:tc>
          <w:tcPr>
            <w:tcW w:w="359" w:type="dxa"/>
            <w:gridSpan w:val="2"/>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center"/>
              <w:rPr>
                <w:rFonts w:hint="eastAsia" w:ascii="宋体" w:hAnsi="宋体" w:cs="宋体"/>
                <w:snapToGrid w:val="0"/>
                <w:color w:val="000000"/>
                <w:kern w:val="0"/>
                <w:szCs w:val="21"/>
                <w:lang w:val="en-US" w:eastAsia="zh-CN"/>
              </w:rPr>
            </w:pPr>
            <w:r>
              <w:rPr>
                <w:rFonts w:hint="eastAsia" w:ascii="宋体" w:hAnsi="宋体" w:cs="宋体"/>
                <w:snapToGrid w:val="0"/>
                <w:color w:val="000000"/>
                <w:kern w:val="0"/>
                <w:szCs w:val="21"/>
                <w:lang w:val="en-US" w:eastAsia="zh-CN"/>
              </w:rPr>
              <w:t>1</w:t>
            </w:r>
          </w:p>
        </w:tc>
        <w:tc>
          <w:tcPr>
            <w:tcW w:w="1966" w:type="dxa"/>
            <w:gridSpan w:val="2"/>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center"/>
              <w:rPr>
                <w:rFonts w:hint="eastAsia" w:ascii="宋体" w:hAnsi="宋体" w:cs="宋体"/>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437" w:type="dxa"/>
            <w:gridSpan w:val="8"/>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总    分</w:t>
            </w:r>
          </w:p>
        </w:tc>
        <w:tc>
          <w:tcPr>
            <w:tcW w:w="45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overflowPunct w:val="0"/>
              <w:adjustRightInd w:val="0"/>
              <w:snapToGrid w:val="0"/>
              <w:jc w:val="center"/>
              <w:rPr>
                <w:rFonts w:hint="default" w:ascii="宋体" w:hAnsi="宋体" w:cs="宋体"/>
                <w:snapToGrid w:val="0"/>
                <w:color w:val="000000"/>
                <w:kern w:val="0"/>
                <w:szCs w:val="21"/>
                <w:lang w:val="en-US" w:eastAsia="zh-CN"/>
              </w:rPr>
            </w:pPr>
            <w:r>
              <w:rPr>
                <w:rFonts w:hint="eastAsia" w:ascii="宋体" w:hAnsi="宋体" w:cs="宋体"/>
                <w:snapToGrid w:val="0"/>
                <w:color w:val="000000"/>
                <w:kern w:val="0"/>
                <w:szCs w:val="21"/>
                <w:lang w:val="en-US" w:eastAsia="zh-CN"/>
              </w:rPr>
              <w:t>10</w:t>
            </w:r>
          </w:p>
        </w:tc>
        <w:tc>
          <w:tcPr>
            <w:tcW w:w="359" w:type="dxa"/>
            <w:gridSpan w:val="2"/>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center"/>
              <w:rPr>
                <w:rFonts w:hint="eastAsia" w:ascii="宋体" w:hAnsi="宋体" w:cs="宋体"/>
                <w:snapToGrid w:val="0"/>
                <w:color w:val="000000"/>
                <w:kern w:val="0"/>
                <w:szCs w:val="21"/>
                <w:lang w:val="en-US" w:eastAsia="zh-CN"/>
              </w:rPr>
            </w:pPr>
            <w:r>
              <w:rPr>
                <w:rFonts w:hint="eastAsia" w:ascii="宋体" w:hAnsi="宋体" w:cs="宋体"/>
                <w:snapToGrid w:val="0"/>
                <w:color w:val="000000"/>
                <w:kern w:val="0"/>
                <w:szCs w:val="21"/>
                <w:lang w:val="en-US" w:eastAsia="zh-CN"/>
              </w:rPr>
              <w:t>9</w:t>
            </w:r>
          </w:p>
        </w:tc>
        <w:tc>
          <w:tcPr>
            <w:tcW w:w="1966" w:type="dxa"/>
            <w:gridSpan w:val="2"/>
            <w:tcBorders>
              <w:top w:val="single" w:color="000000" w:sz="4" w:space="0"/>
              <w:left w:val="single" w:color="000000" w:sz="4" w:space="0"/>
              <w:bottom w:val="single" w:color="000000" w:sz="4" w:space="0"/>
              <w:right w:val="single" w:color="000000" w:sz="4" w:space="0"/>
            </w:tcBorders>
            <w:noWrap w:val="0"/>
            <w:tcMar>
              <w:top w:w="0" w:type="dxa"/>
              <w:left w:w="131" w:type="dxa"/>
              <w:bottom w:w="0" w:type="dxa"/>
              <w:right w:w="131" w:type="dxa"/>
            </w:tcMar>
            <w:vAlign w:val="center"/>
          </w:tcPr>
          <w:p>
            <w:pPr>
              <w:overflowPunct w:val="0"/>
              <w:adjustRightInd w:val="0"/>
              <w:snapToGrid w:val="0"/>
              <w:jc w:val="center"/>
              <w:rPr>
                <w:rFonts w:hint="eastAsia" w:ascii="宋体" w:hAnsi="宋体" w:cs="宋体"/>
                <w:snapToGrid w:val="0"/>
                <w:color w:val="000000"/>
                <w:kern w:val="0"/>
                <w:szCs w:val="21"/>
              </w:rPr>
            </w:pPr>
          </w:p>
        </w:tc>
      </w:tr>
    </w:tbl>
    <w:p>
      <w:pPr>
        <w:rPr>
          <w:rFonts w:hint="eastAsia"/>
          <w:lang w:val="en-US" w:eastAsia="zh-CN"/>
        </w:rPr>
      </w:pPr>
    </w:p>
    <w:p>
      <w:pPr>
        <w:adjustRightInd w:val="0"/>
        <w:snapToGrid w:val="0"/>
        <w:spacing w:line="580" w:lineRule="exact"/>
        <w:ind w:left="420" w:leftChars="200" w:firstLine="321" w:firstLine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（三）部门评价项目绩效评价结果</w:t>
      </w:r>
    </w:p>
    <w:p>
      <w:pPr>
        <w:adjustRightInd w:val="0"/>
        <w:snapToGrid w:val="0"/>
        <w:spacing w:line="580" w:lineRule="exact"/>
        <w:ind w:left="420" w:leftChars="200" w:firstLine="640" w:firstLineChars="200"/>
        <w:rPr>
          <w:rFonts w:hint="default" w:ascii="黑体" w:eastAsia="仿宋" w:cs="Times New Roman"/>
          <w:sz w:val="32"/>
          <w:szCs w:val="32"/>
          <w:lang w:val="en-US" w:eastAsia="zh-CN"/>
        </w:rPr>
      </w:pPr>
      <w:r>
        <w:rPr>
          <w:rFonts w:hint="eastAsia" w:ascii="仿宋_GB2312" w:hAnsi="Times New Roman" w:eastAsia="仿宋_GB2312" w:cs="DengXian-Regular"/>
          <w:color w:val="auto"/>
          <w:sz w:val="32"/>
          <w:szCs w:val="32"/>
        </w:rPr>
        <w:t>2021</w:t>
      </w:r>
      <w:r>
        <w:rPr>
          <w:rFonts w:hint="eastAsia" w:ascii="黑体" w:eastAsia="仿宋" w:cs="Times New Roman"/>
          <w:sz w:val="32"/>
          <w:szCs w:val="32"/>
          <w:lang w:val="en-US" w:eastAsia="zh-CN"/>
        </w:rPr>
        <w:t>年项目目标任务执行情况较好，绩效评价总体得分</w:t>
      </w:r>
      <w:r>
        <w:rPr>
          <w:rFonts w:hint="eastAsia" w:ascii="仿宋_GB2312" w:hAnsi="仿宋_GB2312" w:eastAsia="仿宋_GB2312" w:cs="仿宋_GB2312"/>
          <w:b w:val="0"/>
          <w:i w:val="0"/>
          <w:snapToGrid/>
          <w:color w:val="auto"/>
          <w:sz w:val="32"/>
          <w:szCs w:val="32"/>
          <w:lang w:val="en-US" w:eastAsia="zh-CN"/>
        </w:rPr>
        <w:t>9</w:t>
      </w:r>
      <w:r>
        <w:rPr>
          <w:rFonts w:hint="eastAsia" w:ascii="黑体" w:eastAsia="仿宋" w:cs="Times New Roman"/>
          <w:sz w:val="32"/>
          <w:szCs w:val="32"/>
          <w:lang w:val="en-US" w:eastAsia="zh-CN"/>
        </w:rPr>
        <w:t>分，评价等级为“优”。坚持加强预算资金的绩效管理，强化支出责任，建立科学、合理的绩效评价管理体系，提高财政资金使用效益为目标，科学合理的支出项目经费。</w:t>
      </w:r>
    </w:p>
    <w:p>
      <w:pPr>
        <w:adjustRightInd w:val="0"/>
        <w:snapToGrid w:val="0"/>
        <w:spacing w:line="580" w:lineRule="exact"/>
        <w:ind w:left="420" w:leftChars="200" w:firstLine="320" w:firstLineChars="100"/>
        <w:rPr>
          <w:rFonts w:ascii="仿宋_GB2312" w:hAnsi="Times New Roman" w:eastAsia="仿宋_GB2312" w:cs="DengXian-Regular"/>
          <w:sz w:val="32"/>
          <w:szCs w:val="32"/>
          <w:highlight w:val="yellow"/>
        </w:rPr>
      </w:pPr>
      <w:r>
        <w:rPr>
          <w:rFonts w:hint="eastAsia" w:ascii="黑体" w:eastAsia="黑体" w:cs="Times New Roman"/>
          <w:sz w:val="32"/>
          <w:szCs w:val="32"/>
        </w:rPr>
        <w:t>七、机关运行经费情况</w:t>
      </w:r>
    </w:p>
    <w:p>
      <w:pPr>
        <w:adjustRightInd w:val="0"/>
        <w:snapToGrid w:val="0"/>
        <w:spacing w:line="580" w:lineRule="exact"/>
        <w:ind w:firstLine="640" w:firstLineChars="200"/>
        <w:rPr>
          <w:rFonts w:hint="eastAsia" w:ascii="仿宋_GB2312" w:hAnsi="Times New Roman" w:eastAsia="仿宋_GB2312" w:cs="DengXian-Regular"/>
          <w:color w:val="0000FF"/>
          <w:sz w:val="32"/>
          <w:szCs w:val="32"/>
        </w:rPr>
      </w:pPr>
      <w:r>
        <w:rPr>
          <w:rFonts w:hint="eastAsia" w:ascii="仿宋_GB2312" w:hAnsi="Times New Roman" w:eastAsia="仿宋_GB2312" w:cs="DengXian-Regular"/>
          <w:color w:val="auto"/>
          <w:sz w:val="32"/>
          <w:szCs w:val="32"/>
        </w:rPr>
        <w:t>本部门2021年度机关运行经费支出</w:t>
      </w:r>
      <w:r>
        <w:rPr>
          <w:rFonts w:hint="eastAsia" w:ascii="仿宋_GB2312" w:hAnsi="Times New Roman" w:eastAsia="仿宋_GB2312" w:cs="DengXian-Regular"/>
          <w:color w:val="auto"/>
          <w:sz w:val="32"/>
          <w:szCs w:val="32"/>
          <w:lang w:val="en-US" w:eastAsia="zh-CN"/>
        </w:rPr>
        <w:t>57.05</w:t>
      </w:r>
      <w:r>
        <w:rPr>
          <w:rFonts w:hint="eastAsia" w:ascii="仿宋_GB2312" w:hAnsi="Times New Roman" w:eastAsia="仿宋_GB2312" w:cs="DengXian-Regular"/>
          <w:color w:val="auto"/>
          <w:sz w:val="32"/>
          <w:szCs w:val="32"/>
        </w:rPr>
        <w:t>万元，比2020年度增加</w:t>
      </w:r>
      <w:r>
        <w:rPr>
          <w:rFonts w:hint="eastAsia" w:ascii="仿宋_GB2312" w:hAnsi="Times New Roman" w:eastAsia="仿宋_GB2312" w:cs="DengXian-Regular"/>
          <w:color w:val="auto"/>
          <w:sz w:val="32"/>
          <w:szCs w:val="32"/>
          <w:lang w:val="en-US" w:eastAsia="zh-CN"/>
        </w:rPr>
        <w:t>11.3</w:t>
      </w:r>
      <w:r>
        <w:rPr>
          <w:rFonts w:hint="eastAsia" w:ascii="仿宋_GB2312" w:hAnsi="Times New Roman" w:eastAsia="仿宋_GB2312" w:cs="DengXian-Regular"/>
          <w:color w:val="auto"/>
          <w:sz w:val="32"/>
          <w:szCs w:val="32"/>
        </w:rPr>
        <w:t>万元，增长</w:t>
      </w:r>
      <w:r>
        <w:rPr>
          <w:rFonts w:hint="eastAsia" w:ascii="仿宋_GB2312" w:hAnsi="Times New Roman" w:eastAsia="仿宋_GB2312" w:cs="DengXian-Regular"/>
          <w:color w:val="auto"/>
          <w:sz w:val="32"/>
          <w:szCs w:val="32"/>
          <w:lang w:val="en-US" w:eastAsia="zh-CN"/>
        </w:rPr>
        <w:t>24.7</w:t>
      </w:r>
      <w:r>
        <w:rPr>
          <w:rFonts w:hint="eastAsia" w:ascii="仿宋_GB2312" w:hAnsi="Times New Roman" w:eastAsia="仿宋_GB2312" w:cs="DengXian-Regular"/>
          <w:color w:val="auto"/>
          <w:sz w:val="32"/>
          <w:szCs w:val="32"/>
        </w:rPr>
        <w:t>%。主要原因是</w:t>
      </w:r>
      <w:r>
        <w:rPr>
          <w:rFonts w:hint="eastAsia" w:ascii="仿宋_GB2312" w:hAnsi="Times New Roman" w:eastAsia="仿宋_GB2312" w:cs="Wingdings"/>
          <w:sz w:val="32"/>
          <w:szCs w:val="32"/>
          <w:lang w:val="en-US" w:eastAsia="zh-CN"/>
        </w:rPr>
        <w:t>冬奥志愿服务</w:t>
      </w:r>
      <w:r>
        <w:rPr>
          <w:rFonts w:hint="eastAsia" w:ascii="仿宋_GB2312" w:hAnsi="Times New Roman" w:eastAsia="仿宋_GB2312" w:cs="DengXian-Regular"/>
          <w:sz w:val="32"/>
          <w:szCs w:val="32"/>
          <w:lang w:eastAsia="zh-CN"/>
        </w:rPr>
        <w:t>工作任务加重，督导次数增加</w:t>
      </w:r>
      <w:r>
        <w:rPr>
          <w:rFonts w:hint="eastAsia" w:ascii="仿宋_GB2312" w:hAnsi="Times New Roman" w:eastAsia="仿宋_GB2312" w:cs="DengXian-Regular"/>
          <w:color w:val="0000FF"/>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eastAsia="黑体" w:cs="Times New Roman"/>
          <w:sz w:val="32"/>
          <w:szCs w:val="32"/>
        </w:rPr>
        <w:t>八、政府采购情况</w:t>
      </w:r>
    </w:p>
    <w:p>
      <w:pPr>
        <w:snapToGrid w:val="0"/>
        <w:spacing w:line="580" w:lineRule="exact"/>
        <w:ind w:firstLine="640" w:firstLineChars="200"/>
        <w:jc w:val="left"/>
        <w:rPr>
          <w:rFonts w:ascii="仿宋_GB2312" w:hAnsi="仿宋_GB2312" w:eastAsia="仿宋_GB2312" w:cs="仿宋_GB2312"/>
          <w:color w:val="auto"/>
          <w:kern w:val="0"/>
          <w:sz w:val="32"/>
          <w:szCs w:val="32"/>
        </w:rPr>
      </w:pPr>
      <w:r>
        <w:rPr>
          <w:rFonts w:hint="eastAsia" w:ascii="仿宋_GB2312" w:hAnsi="Times New Roman" w:eastAsia="仿宋_GB2312" w:cs="DengXian-Regular"/>
          <w:color w:val="auto"/>
          <w:sz w:val="32"/>
          <w:szCs w:val="32"/>
        </w:rPr>
        <w:t>本部门2021年度政府采购支出总额</w:t>
      </w:r>
      <w:r>
        <w:rPr>
          <w:rFonts w:hint="eastAsia" w:ascii="仿宋_GB2312" w:hAnsi="Times New Roman" w:eastAsia="仿宋_GB2312" w:cs="DengXian-Regular"/>
          <w:color w:val="auto"/>
          <w:sz w:val="32"/>
          <w:szCs w:val="32"/>
          <w:lang w:val="en-US" w:eastAsia="zh-CN"/>
        </w:rPr>
        <w:t>704.4</w:t>
      </w:r>
      <w:r>
        <w:rPr>
          <w:rFonts w:hint="eastAsia" w:ascii="仿宋_GB2312" w:hAnsi="Times New Roman" w:eastAsia="仿宋_GB2312" w:cs="DengXian-Regular"/>
          <w:color w:val="auto"/>
          <w:sz w:val="32"/>
          <w:szCs w:val="32"/>
        </w:rPr>
        <w:t>万元，从采购类型来看，</w:t>
      </w:r>
      <w:r>
        <w:rPr>
          <w:rFonts w:ascii="仿宋_GB2312" w:hAnsi="仿宋_GB2312" w:eastAsia="仿宋_GB2312" w:cs="仿宋_GB2312"/>
          <w:color w:val="auto"/>
          <w:kern w:val="0"/>
          <w:sz w:val="32"/>
          <w:szCs w:val="32"/>
        </w:rPr>
        <w:t>政府采购货物支出</w:t>
      </w:r>
      <w:r>
        <w:rPr>
          <w:rFonts w:hint="eastAsia" w:ascii="仿宋_GB2312" w:hAnsi="仿宋_GB2312" w:eastAsia="仿宋_GB2312" w:cs="仿宋_GB2312"/>
          <w:color w:val="auto"/>
          <w:kern w:val="0"/>
          <w:sz w:val="32"/>
          <w:szCs w:val="32"/>
          <w:lang w:val="en-US" w:eastAsia="zh-CN"/>
        </w:rPr>
        <w:t>704.4</w:t>
      </w:r>
      <w:r>
        <w:rPr>
          <w:rFonts w:ascii="仿宋_GB2312" w:hAnsi="仿宋_GB2312" w:eastAsia="仿宋_GB2312" w:cs="仿宋_GB2312"/>
          <w:color w:val="auto"/>
          <w:kern w:val="0"/>
          <w:sz w:val="32"/>
          <w:szCs w:val="32"/>
        </w:rPr>
        <w:t xml:space="preserve"> 万元。授予中小企业合同金</w:t>
      </w:r>
      <w:r>
        <w:rPr>
          <w:rFonts w:hint="eastAsia" w:ascii="仿宋_GB2312" w:hAnsi="仿宋_GB2312" w:eastAsia="仿宋_GB2312" w:cs="仿宋_GB2312"/>
          <w:color w:val="auto"/>
          <w:kern w:val="0"/>
          <w:sz w:val="32"/>
          <w:szCs w:val="32"/>
          <w:lang w:val="en-US" w:eastAsia="zh-CN"/>
        </w:rPr>
        <w:t>704.4</w:t>
      </w:r>
      <w:r>
        <w:rPr>
          <w:rFonts w:ascii="仿宋_GB2312" w:hAnsi="仿宋_GB2312" w:eastAsia="仿宋_GB2312" w:cs="仿宋_GB2312"/>
          <w:color w:val="auto"/>
          <w:kern w:val="0"/>
          <w:sz w:val="32"/>
          <w:szCs w:val="32"/>
        </w:rPr>
        <w:t>万元，占政府采购支出总额的</w:t>
      </w:r>
      <w:r>
        <w:rPr>
          <w:rFonts w:hint="eastAsia" w:ascii="仿宋_GB2312" w:hAnsi="仿宋_GB2312" w:eastAsia="仿宋_GB2312" w:cs="仿宋_GB2312"/>
          <w:color w:val="auto"/>
          <w:kern w:val="0"/>
          <w:sz w:val="32"/>
          <w:szCs w:val="32"/>
          <w:lang w:val="en-US" w:eastAsia="zh-CN"/>
        </w:rPr>
        <w:t>100</w:t>
      </w:r>
      <w:r>
        <w:rPr>
          <w:rFonts w:hint="eastAsia" w:ascii="仿宋_GB2312" w:hAnsi="仿宋_GB2312" w:eastAsia="仿宋_GB2312" w:cs="仿宋_GB2312"/>
          <w:color w:val="auto"/>
          <w:kern w:val="0"/>
          <w:sz w:val="32"/>
          <w:szCs w:val="32"/>
        </w:rPr>
        <w:t>%，</w:t>
      </w:r>
      <w:r>
        <w:rPr>
          <w:rFonts w:ascii="仿宋_GB2312" w:hAnsi="仿宋_GB2312" w:eastAsia="仿宋_GB2312" w:cs="仿宋_GB2312"/>
          <w:color w:val="auto"/>
          <w:kern w:val="0"/>
          <w:sz w:val="32"/>
          <w:szCs w:val="32"/>
        </w:rPr>
        <w:t>其中授予小微企业合同金额</w:t>
      </w:r>
      <w:r>
        <w:rPr>
          <w:rFonts w:hint="eastAsia" w:ascii="仿宋_GB2312" w:hAnsi="仿宋_GB2312" w:eastAsia="仿宋_GB2312" w:cs="仿宋_GB2312"/>
          <w:color w:val="auto"/>
          <w:kern w:val="0"/>
          <w:sz w:val="32"/>
          <w:szCs w:val="32"/>
          <w:lang w:val="en-US" w:eastAsia="zh-CN"/>
        </w:rPr>
        <w:t>0</w:t>
      </w:r>
      <w:r>
        <w:rPr>
          <w:rFonts w:ascii="仿宋_GB2312" w:hAnsi="仿宋_GB2312" w:eastAsia="仿宋_GB2312" w:cs="仿宋_GB2312"/>
          <w:color w:val="auto"/>
          <w:kern w:val="0"/>
          <w:sz w:val="32"/>
          <w:szCs w:val="32"/>
        </w:rPr>
        <w:t xml:space="preserve">万元，占政府采购支出总额的 </w:t>
      </w:r>
      <w:r>
        <w:rPr>
          <w:rFonts w:hint="eastAsia" w:ascii="仿宋_GB2312" w:hAnsi="仿宋_GB2312" w:eastAsia="仿宋_GB2312" w:cs="仿宋_GB2312"/>
          <w:color w:val="auto"/>
          <w:kern w:val="0"/>
          <w:sz w:val="32"/>
          <w:szCs w:val="32"/>
          <w:lang w:val="en-US" w:eastAsia="zh-CN"/>
        </w:rPr>
        <w:t>0</w:t>
      </w:r>
      <w:r>
        <w:rPr>
          <w:rFonts w:ascii="仿宋_GB2312" w:hAnsi="仿宋_GB2312" w:eastAsia="仿宋_GB2312" w:cs="仿宋_GB2312"/>
          <w:color w:val="auto"/>
          <w:kern w:val="0"/>
          <w:sz w:val="32"/>
          <w:szCs w:val="32"/>
        </w:rPr>
        <w:t>%。</w:t>
      </w:r>
    </w:p>
    <w:p>
      <w:pPr>
        <w:snapToGrid w:val="0"/>
        <w:spacing w:line="580" w:lineRule="exact"/>
        <w:ind w:firstLine="640" w:firstLineChars="200"/>
        <w:jc w:val="left"/>
        <w:rPr>
          <w:rFonts w:ascii="仿宋_GB2312" w:hAnsi="Times New Roman" w:eastAsia="仿宋_GB2312" w:cs="DengXian-Regular"/>
          <w:sz w:val="32"/>
          <w:szCs w:val="32"/>
          <w:highlight w:val="yellow"/>
        </w:rPr>
      </w:pPr>
      <w:r>
        <w:rPr>
          <w:rFonts w:hint="eastAsia" w:ascii="黑体" w:eastAsia="黑体" w:cs="Times New Roman"/>
          <w:sz w:val="32"/>
          <w:szCs w:val="32"/>
        </w:rPr>
        <w:t>九、国有资产占用情况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截至2021年12月31日，本部门共有车辆</w:t>
      </w:r>
      <w:r>
        <w:rPr>
          <w:rFonts w:hint="eastAsia" w:ascii="仿宋_GB2312" w:hAnsi="Times New Roman" w:eastAsia="仿宋_GB2312" w:cs="DengXian-Regular"/>
          <w:sz w:val="32"/>
          <w:szCs w:val="32"/>
          <w:lang w:val="en-US" w:eastAsia="zh-CN"/>
        </w:rPr>
        <w:t>3</w:t>
      </w:r>
      <w:r>
        <w:rPr>
          <w:rFonts w:hint="eastAsia" w:ascii="仿宋_GB2312" w:hAnsi="Times New Roman" w:eastAsia="仿宋_GB2312" w:cs="DengXian-Regular"/>
          <w:sz w:val="32"/>
          <w:szCs w:val="32"/>
        </w:rPr>
        <w:t>辆，比上年增加</w:t>
      </w:r>
      <w:r>
        <w:rPr>
          <w:rFonts w:hint="eastAsia" w:ascii="仿宋_GB2312" w:hAnsi="Times New Roman" w:eastAsia="仿宋_GB2312" w:cs="DengXian-Regular"/>
          <w:sz w:val="32"/>
          <w:szCs w:val="32"/>
          <w:lang w:val="en-US" w:eastAsia="zh-CN"/>
        </w:rPr>
        <w:t>3</w:t>
      </w:r>
      <w:r>
        <w:rPr>
          <w:rFonts w:hint="eastAsia" w:ascii="仿宋_GB2312" w:hAnsi="Times New Roman" w:eastAsia="仿宋_GB2312" w:cs="DengXian-Regular"/>
          <w:sz w:val="32"/>
          <w:szCs w:val="32"/>
        </w:rPr>
        <w:t>辆，主要是</w:t>
      </w:r>
      <w:r>
        <w:rPr>
          <w:rFonts w:hint="eastAsia" w:ascii="仿宋_GB2312" w:hAnsi="Times New Roman" w:eastAsia="仿宋_GB2312" w:cs="DengXian-Regular"/>
          <w:sz w:val="32"/>
          <w:szCs w:val="32"/>
          <w:lang w:val="en-US" w:eastAsia="zh-CN"/>
        </w:rPr>
        <w:t>2021年机关事务管理局为我单位提供1辆公务用车使用，企业为方便冬奥服务免费提供用车2辆到冬奥工作结束收回</w:t>
      </w:r>
      <w:r>
        <w:rPr>
          <w:rFonts w:hint="eastAsia" w:ascii="仿宋_GB2312" w:hAnsi="Times New Roman" w:eastAsia="仿宋_GB2312" w:cs="DengXian-Regular"/>
          <w:sz w:val="32"/>
          <w:szCs w:val="32"/>
        </w:rPr>
        <w:t>。其中，副部（省）级及以上领导用车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辆，主要领导干部用车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辆，机要通信用车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辆，应急保障用车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辆，执法执勤用车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辆，特种专业技术用车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辆，离退休干部用车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辆，其他用车</w:t>
      </w:r>
      <w:r>
        <w:rPr>
          <w:rFonts w:hint="eastAsia" w:ascii="仿宋_GB2312" w:hAnsi="Times New Roman" w:eastAsia="仿宋_GB2312" w:cs="DengXian-Regular"/>
          <w:sz w:val="32"/>
          <w:szCs w:val="32"/>
          <w:lang w:val="en-US" w:eastAsia="zh-CN"/>
        </w:rPr>
        <w:t>3</w:t>
      </w:r>
      <w:r>
        <w:rPr>
          <w:rFonts w:hint="eastAsia" w:ascii="仿宋_GB2312" w:hAnsi="Times New Roman" w:eastAsia="仿宋_GB2312" w:cs="DengXian-Regular"/>
          <w:sz w:val="32"/>
          <w:szCs w:val="32"/>
        </w:rPr>
        <w:t>辆，其他用车主要是</w:t>
      </w:r>
      <w:r>
        <w:rPr>
          <w:rFonts w:hint="eastAsia" w:ascii="仿宋_GB2312" w:hAnsi="Times New Roman" w:eastAsia="仿宋_GB2312" w:cs="DengXian-Regular"/>
          <w:sz w:val="32"/>
          <w:szCs w:val="32"/>
          <w:lang w:eastAsia="zh-CN"/>
        </w:rPr>
        <w:t>外出调研工作、开会、冬奥服务相关工作</w:t>
      </w:r>
      <w:r>
        <w:rPr>
          <w:rFonts w:hint="eastAsia" w:ascii="仿宋_GB2312" w:eastAsia="仿宋_GB2312" w:cs="DengXian-Regular"/>
          <w:sz w:val="32"/>
          <w:szCs w:val="32"/>
          <w:lang w:eastAsia="zh-CN"/>
        </w:rPr>
        <w:t>等</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hint="eastAsia" w:ascii="黑体" w:eastAsia="黑体" w:cs="Times New Roman"/>
          <w:sz w:val="32"/>
          <w:szCs w:val="32"/>
          <w:lang w:eastAsia="zh-CN"/>
        </w:rPr>
      </w:pPr>
      <w:r>
        <w:rPr>
          <w:rFonts w:hint="eastAsia" w:ascii="仿宋_GB2312" w:eastAsia="仿宋_GB2312" w:cs="DengXian-Regular"/>
          <w:sz w:val="32"/>
          <w:szCs w:val="32"/>
        </w:rPr>
        <w:t>单位价值50万元以上通用设备0台（套），与上年比没有变化，单位价值100万元以上专用设备0台（套），与上年比没 有变化。</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黑体" w:eastAsia="黑体" w:cs="Times New Roman"/>
          <w:sz w:val="32"/>
          <w:szCs w:val="32"/>
        </w:rPr>
        <w:t>十、其他需要说明的情况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 本部门2021年度政府性基金</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国有资本经营无收支及结转结余情况，故政府性基金预算财政拨款收入支出决算表</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国有资本经营预算财政拨款支出决算表以空表列示。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 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cs="MS-UIGothic,Bold"/>
          <w:b/>
          <w:bCs/>
          <w:kern w:val="0"/>
          <w:sz w:val="44"/>
          <w:szCs w:val="44"/>
        </w:rPr>
      </w:pPr>
    </w:p>
    <w:p>
      <w:pPr>
        <w:rPr>
          <w:rFonts w:ascii="仿宋_GB2312" w:hAnsi="宋体" w:eastAsia="仿宋_GB2312" w:cs="ArialUnicodeMS"/>
          <w:sz w:val="32"/>
          <w:szCs w:val="32"/>
        </w:rPr>
      </w:pPr>
    </w:p>
    <w:p>
      <w:pPr>
        <w:pStyle w:val="2"/>
        <w:rPr>
          <w:rFonts w:ascii="仿宋_GB2312" w:hAnsi="宋体" w:eastAsia="仿宋_GB2312" w:cs="ArialUnicodeMS"/>
          <w:sz w:val="32"/>
          <w:szCs w:val="32"/>
        </w:rPr>
      </w:pPr>
    </w:p>
    <w:p>
      <w:pPr>
        <w:pStyle w:val="2"/>
        <w:rPr>
          <w:rFonts w:ascii="仿宋_GB2312" w:hAnsi="宋体" w:eastAsia="仿宋_GB2312" w:cs="ArialUnicodeMS"/>
          <w:sz w:val="32"/>
          <w:szCs w:val="32"/>
        </w:rPr>
      </w:pPr>
    </w:p>
    <w:p>
      <w:pPr>
        <w:pStyle w:val="2"/>
        <w:rPr>
          <w:rFonts w:ascii="仿宋_GB2312" w:hAnsi="宋体" w:eastAsia="仿宋_GB2312" w:cs="ArialUnicodeMS"/>
          <w:sz w:val="32"/>
          <w:szCs w:val="32"/>
        </w:rPr>
      </w:pPr>
    </w:p>
    <w:p>
      <w:pPr>
        <w:pStyle w:val="2"/>
        <w:rPr>
          <w:rFonts w:ascii="仿宋_GB2312" w:hAnsi="宋体" w:eastAsia="仿宋_GB2312" w:cs="ArialUnicodeMS"/>
          <w:sz w:val="32"/>
          <w:szCs w:val="32"/>
        </w:rPr>
      </w:pPr>
    </w:p>
    <w:p>
      <w:pPr>
        <w:pStyle w:val="2"/>
        <w:rPr>
          <w:rFonts w:ascii="仿宋_GB2312" w:hAnsi="宋体" w:eastAsia="仿宋_GB2312" w:cs="ArialUnicodeMS"/>
          <w:sz w:val="32"/>
          <w:szCs w:val="32"/>
        </w:rPr>
      </w:pPr>
    </w:p>
    <w:p>
      <w:pPr>
        <w:pStyle w:val="2"/>
        <w:rPr>
          <w:rFonts w:ascii="仿宋_GB2312" w:hAnsi="宋体" w:eastAsia="仿宋_GB2312" w:cs="ArialUnicodeMS"/>
          <w:sz w:val="32"/>
          <w:szCs w:val="32"/>
        </w:rPr>
      </w:pPr>
    </w:p>
    <w:p>
      <w:pPr>
        <w:pStyle w:val="2"/>
        <w:rPr>
          <w:rFonts w:ascii="仿宋_GB2312" w:hAnsi="宋体" w:eastAsia="仿宋_GB2312" w:cs="ArialUnicodeMS"/>
          <w:sz w:val="32"/>
          <w:szCs w:val="32"/>
        </w:rPr>
      </w:pPr>
    </w:p>
    <w:p>
      <w:pPr>
        <w:pStyle w:val="2"/>
        <w:rPr>
          <w:rFonts w:ascii="仿宋_GB2312" w:hAnsi="宋体" w:eastAsia="仿宋_GB2312" w:cs="ArialUnicodeMS"/>
          <w:sz w:val="32"/>
          <w:szCs w:val="32"/>
        </w:rPr>
      </w:pPr>
    </w:p>
    <w:p>
      <w:pPr>
        <w:pStyle w:val="2"/>
        <w:rPr>
          <w:rFonts w:ascii="仿宋_GB2312" w:hAnsi="宋体" w:eastAsia="仿宋_GB2312" w:cs="ArialUnicodeMS"/>
          <w:sz w:val="32"/>
          <w:szCs w:val="32"/>
        </w:rPr>
      </w:pPr>
    </w:p>
    <w:p>
      <w:pPr>
        <w:pStyle w:val="2"/>
        <w:rPr>
          <w:rFonts w:ascii="仿宋_GB2312" w:hAnsi="宋体" w:eastAsia="仿宋_GB2312" w:cs="ArialUnicodeMS"/>
          <w:sz w:val="32"/>
          <w:szCs w:val="32"/>
        </w:rPr>
      </w:pPr>
    </w:p>
    <w:p>
      <w:pPr>
        <w:pStyle w:val="2"/>
        <w:rPr>
          <w:rFonts w:ascii="仿宋_GB2312" w:hAnsi="宋体" w:eastAsia="仿宋_GB2312" w:cs="ArialUnicodeMS"/>
          <w:sz w:val="32"/>
          <w:szCs w:val="32"/>
        </w:rPr>
      </w:pPr>
    </w:p>
    <w:p>
      <w:pPr>
        <w:pStyle w:val="2"/>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widowControl/>
        <w:ind w:firstLine="2200" w:firstLineChars="500"/>
        <w:jc w:val="both"/>
        <w:rPr>
          <w:rFonts w:hint="eastAsia" w:ascii="黑体" w:hAnsi="黑体" w:eastAsia="黑体" w:cs="黑体"/>
          <w:color w:val="000000"/>
          <w:sz w:val="44"/>
          <w:szCs w:val="44"/>
        </w:rPr>
      </w:pPr>
    </w:p>
    <w:p>
      <w:pPr>
        <w:widowControl/>
        <w:ind w:firstLine="2200" w:firstLineChars="500"/>
        <w:jc w:val="both"/>
        <w:rPr>
          <w:rFonts w:hint="eastAsia" w:ascii="黑体" w:hAnsi="黑体" w:eastAsia="黑体" w:cs="黑体"/>
          <w:color w:val="000000"/>
          <w:sz w:val="44"/>
          <w:szCs w:val="44"/>
        </w:rPr>
      </w:pPr>
    </w:p>
    <w:p>
      <w:pPr>
        <w:widowControl/>
        <w:ind w:firstLine="2200" w:firstLineChars="500"/>
        <w:jc w:val="both"/>
        <w:rPr>
          <w:rFonts w:hint="eastAsia" w:ascii="黑体" w:hAnsi="黑体" w:eastAsia="黑体" w:cs="黑体"/>
          <w:color w:val="000000"/>
          <w:sz w:val="44"/>
          <w:szCs w:val="44"/>
        </w:rPr>
      </w:pPr>
    </w:p>
    <w:p>
      <w:pPr>
        <w:widowControl/>
        <w:ind w:firstLine="1600" w:firstLineChars="500"/>
        <w:jc w:val="both"/>
        <w:rPr>
          <w:rFonts w:hint="eastAsia" w:ascii="黑体" w:hAnsi="黑体" w:eastAsia="黑体" w:cs="黑体"/>
          <w:color w:val="000000"/>
          <w:sz w:val="44"/>
          <w:szCs w:val="44"/>
        </w:rPr>
      </w:pPr>
      <w:r>
        <w:rPr>
          <w:rFonts w:hint="eastAsia" w:ascii="仿宋_GB2312" w:hAnsi="宋体" w:eastAsia="仿宋_GB2312" w:cs="Times New Roman"/>
          <w:color w:val="000000"/>
          <w:kern w:val="0"/>
          <w:sz w:val="32"/>
          <w:szCs w:val="32"/>
        </w:rPr>
        <w:drawing>
          <wp:anchor distT="0" distB="0" distL="0" distR="0" simplePos="0" relativeHeight="251659264" behindDoc="0" locked="0" layoutInCell="1" allowOverlap="1">
            <wp:simplePos x="0" y="0"/>
            <wp:positionH relativeFrom="column">
              <wp:posOffset>523240</wp:posOffset>
            </wp:positionH>
            <wp:positionV relativeFrom="margin">
              <wp:posOffset>1534795</wp:posOffset>
            </wp:positionV>
            <wp:extent cx="640080" cy="640080"/>
            <wp:effectExtent l="0" t="0" r="7620" b="7620"/>
            <wp:wrapNone/>
            <wp:docPr id="1043" name="图片 76" descr="32313535383135393b32313535383230393bcbb5c3f7cae9"/>
            <wp:cNvGraphicFramePr/>
            <a:graphic xmlns:a="http://schemas.openxmlformats.org/drawingml/2006/main">
              <a:graphicData uri="http://schemas.openxmlformats.org/drawingml/2006/picture">
                <pic:pic xmlns:pic="http://schemas.openxmlformats.org/drawingml/2006/picture">
                  <pic:nvPicPr>
                    <pic:cNvPr id="1043" name="图片 76" descr="32313535383135393b32313535383230393bcbb5c3f7cae9"/>
                    <pic:cNvPicPr/>
                  </pic:nvPicPr>
                  <pic:blipFill>
                    <a:blip r:embed="rId22" cstate="print"/>
                    <a:srcRect/>
                    <a:stretch>
                      <a:fillRect/>
                    </a:stretch>
                  </pic:blipFill>
                  <pic:spPr>
                    <a:xfrm>
                      <a:off x="0" y="0"/>
                      <a:ext cx="640079" cy="640079"/>
                    </a:xfrm>
                    <a:prstGeom prst="rect">
                      <a:avLst/>
                    </a:prstGeom>
                  </pic:spPr>
                </pic:pic>
              </a:graphicData>
            </a:graphic>
          </wp:anchor>
        </w:drawing>
      </w:r>
    </w:p>
    <w:p>
      <w:pPr>
        <w:widowControl/>
        <w:ind w:firstLine="2200" w:firstLineChars="500"/>
        <w:jc w:val="both"/>
        <w:rPr>
          <w:sz w:val="44"/>
          <w:szCs w:val="44"/>
        </w:rPr>
      </w:pPr>
      <w:r>
        <w:rPr>
          <w:rFonts w:hint="eastAsia" w:ascii="黑体" w:hAnsi="黑体" w:eastAsia="黑体" w:cs="黑体"/>
          <w:color w:val="000000"/>
          <w:sz w:val="44"/>
          <w:szCs w:val="44"/>
        </w:rPr>
        <w:t>第四部分 相关名词解释</w:t>
      </w:r>
    </w:p>
    <w:p>
      <w:pPr>
        <w:rPr>
          <w:rFonts w:ascii="仿宋_GB2312" w:hAnsi="宋体" w:eastAsia="仿宋_GB2312" w:cs="ArialUnicodeMS"/>
          <w:sz w:val="32"/>
          <w:szCs w:val="32"/>
        </w:rPr>
      </w:pPr>
    </w:p>
    <w:p>
      <w:pPr>
        <w:rPr>
          <w:rFonts w:ascii="仿宋_GB2312" w:hAnsi="宋体" w:eastAsia="仿宋_GB2312" w:cs="ArialUnicodeMS"/>
          <w:sz w:val="32"/>
          <w:szCs w:val="32"/>
        </w:rPr>
      </w:pPr>
      <w:r>
        <w:rPr>
          <w:rFonts w:hint="eastAsia" w:ascii="仿宋_GB2312" w:hAnsi="宋体" w:eastAsia="仿宋_GB2312" w:cs="ArialUnicodeMS"/>
          <w:sz w:val="32"/>
          <w:szCs w:val="32"/>
        </w:rPr>
        <w:br w:type="page"/>
      </w:r>
      <w:bookmarkStart w:id="0" w:name="_GoBack"/>
      <w:bookmarkEnd w:id="0"/>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（四）使用非财政拨款结余：</w:t>
      </w:r>
      <w:r>
        <w:rPr>
          <w:rFonts w:hint="eastAsia" w:ascii="仿宋_GB2312" w:hAnsi="宋体" w:eastAsia="仿宋_GB2312" w:cs="Times New Roman"/>
          <w:color w:val="000000"/>
          <w:kern w:val="0"/>
          <w:sz w:val="32"/>
          <w:szCs w:val="32"/>
        </w:rPr>
        <w:t>指事业单位按照预算管理要求使用非财政拨款结余弥补收支差额的金额。</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643" w:firstLineChars="200"/>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思源黑体 CN Heavy">
    <w:altName w:val="黑体"/>
    <w:panose1 w:val="00000000000000000000"/>
    <w:charset w:val="86"/>
    <w:family w:val="swiss"/>
    <w:pitch w:val="default"/>
    <w:sig w:usb0="00000000" w:usb1="00000000" w:usb2="00000016" w:usb3="00000000" w:csb0="00060107" w:csb1="00000000"/>
  </w:font>
  <w:font w:name="思源黑体 CN Bold">
    <w:altName w:val="黑体"/>
    <w:panose1 w:val="00000000000000000000"/>
    <w:charset w:val="86"/>
    <w:family w:val="swiss"/>
    <w:pitch w:val="default"/>
    <w:sig w:usb0="00000000" w:usb1="00000000" w:usb2="00000016" w:usb3="00000000" w:csb0="00060107" w:csb1="00000000"/>
  </w:font>
  <w:font w:name="方正魏碑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02F" w:usb1="29D77CFB" w:usb2="00000012" w:usb3="00000000" w:csb0="00080001" w:csb1="00000000"/>
  </w:font>
  <w:font w:name="Arial Black">
    <w:panose1 w:val="020B0A04020102020204"/>
    <w:charset w:val="00"/>
    <w:family w:val="swiss"/>
    <w:pitch w:val="default"/>
    <w:sig w:usb0="A00002AF" w:usb1="400078FB" w:usb2="00000000" w:usb3="00000000" w:csb0="6000009F" w:csb1="DFD70000"/>
  </w:font>
  <w:font w:name="Cambria">
    <w:panose1 w:val="02040503050406030204"/>
    <w:charset w:val="00"/>
    <w:family w:val="roman"/>
    <w:pitch w:val="default"/>
    <w:sig w:usb0="E00006FF" w:usb1="420024FF" w:usb2="02000000" w:usb3="00000000" w:csb0="2000019F" w:csb1="00000000"/>
  </w:font>
  <w:font w:name="DengXian-Bold">
    <w:altName w:val="宋体"/>
    <w:panose1 w:val="00000000000000000000"/>
    <w:charset w:val="86"/>
    <w:family w:val="auto"/>
    <w:pitch w:val="default"/>
    <w:sig w:usb0="00000000" w:usb1="00000000" w:usb2="00000010" w:usb3="00000000" w:csb0="00040001" w:csb1="00000000"/>
  </w:font>
  <w:font w:name="DengXian-Regular">
    <w:altName w:val="宋体"/>
    <w:panose1 w:val="00000000000000000000"/>
    <w:charset w:val="86"/>
    <w:family w:val="auto"/>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MS-UIGothic,Bold">
    <w:altName w:val="Malgun Gothic"/>
    <w:panose1 w:val="00000000000000000000"/>
    <w:charset w:val="81"/>
    <w:family w:val="auto"/>
    <w:pitch w:val="default"/>
    <w:sig w:usb0="00000000" w:usb1="0000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AABAAD"/>
    <w:multiLevelType w:val="singleLevel"/>
    <w:tmpl w:val="F5AABAAD"/>
    <w:lvl w:ilvl="0" w:tentative="0">
      <w:start w:val="2"/>
      <w:numFmt w:val="chineseCounting"/>
      <w:suff w:val="nothing"/>
      <w:lvlText w:val="（%1）"/>
      <w:lvlJc w:val="left"/>
      <w:rPr>
        <w:rFonts w:hint="eastAsia"/>
      </w:rPr>
    </w:lvl>
  </w:abstractNum>
  <w:abstractNum w:abstractNumId="1">
    <w:nsid w:val="F9421B2C"/>
    <w:multiLevelType w:val="singleLevel"/>
    <w:tmpl w:val="F9421B2C"/>
    <w:lvl w:ilvl="0" w:tentative="0">
      <w:start w:val="1"/>
      <w:numFmt w:val="chineseCounting"/>
      <w:suff w:val="nothing"/>
      <w:lvlText w:val="%1、"/>
      <w:lvlJc w:val="left"/>
      <w:rPr>
        <w:rFonts w:hint="eastAsia"/>
      </w:rPr>
    </w:lvl>
  </w:abstractNum>
  <w:abstractNum w:abstractNumId="2">
    <w:nsid w:val="01247761"/>
    <w:multiLevelType w:val="singleLevel"/>
    <w:tmpl w:val="01247761"/>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jb3VudCI6MzMsImhkaWQiOiJjZWZmODMxZTgzZjVkOWRjNGNlNzFmMGFiNzYzN2Y3OSIsInVzZXJDb3VudCI6MTJ9"/>
  </w:docVars>
  <w:rsids>
    <w:rsidRoot w:val="002A12D8"/>
    <w:rsid w:val="000A7EFC"/>
    <w:rsid w:val="00126C65"/>
    <w:rsid w:val="002A12D8"/>
    <w:rsid w:val="00515310"/>
    <w:rsid w:val="0081703F"/>
    <w:rsid w:val="00AC2E78"/>
    <w:rsid w:val="00B307B7"/>
    <w:rsid w:val="00C714A8"/>
    <w:rsid w:val="00ED421B"/>
    <w:rsid w:val="00FC3FFF"/>
    <w:rsid w:val="01FA47FF"/>
    <w:rsid w:val="027A5940"/>
    <w:rsid w:val="02FE031F"/>
    <w:rsid w:val="03E60C72"/>
    <w:rsid w:val="0523406D"/>
    <w:rsid w:val="05940AC6"/>
    <w:rsid w:val="07EA2C20"/>
    <w:rsid w:val="089A2898"/>
    <w:rsid w:val="08D31906"/>
    <w:rsid w:val="0A9F4195"/>
    <w:rsid w:val="0AB47515"/>
    <w:rsid w:val="0BBC2B25"/>
    <w:rsid w:val="0C0F70F9"/>
    <w:rsid w:val="0CA12EB7"/>
    <w:rsid w:val="0CBC2713"/>
    <w:rsid w:val="0E4A266A"/>
    <w:rsid w:val="0EC47D7C"/>
    <w:rsid w:val="0FA943F4"/>
    <w:rsid w:val="0FD1698D"/>
    <w:rsid w:val="1144482A"/>
    <w:rsid w:val="12A06CFD"/>
    <w:rsid w:val="130C6ECC"/>
    <w:rsid w:val="15C52948"/>
    <w:rsid w:val="15C745A0"/>
    <w:rsid w:val="17722603"/>
    <w:rsid w:val="17D77DA9"/>
    <w:rsid w:val="1B23621C"/>
    <w:rsid w:val="1B903686"/>
    <w:rsid w:val="1CB33AD0"/>
    <w:rsid w:val="1DA04055"/>
    <w:rsid w:val="1DF35C06"/>
    <w:rsid w:val="1F055434"/>
    <w:rsid w:val="1F470A03"/>
    <w:rsid w:val="224F6049"/>
    <w:rsid w:val="236C14A5"/>
    <w:rsid w:val="236E0751"/>
    <w:rsid w:val="244B0A92"/>
    <w:rsid w:val="24AD52A9"/>
    <w:rsid w:val="28074CD0"/>
    <w:rsid w:val="281F026C"/>
    <w:rsid w:val="29610CF0"/>
    <w:rsid w:val="2BF65788"/>
    <w:rsid w:val="2C156FDC"/>
    <w:rsid w:val="2E226A77"/>
    <w:rsid w:val="2F78048F"/>
    <w:rsid w:val="31B22151"/>
    <w:rsid w:val="33E04D53"/>
    <w:rsid w:val="358E2197"/>
    <w:rsid w:val="392C0D5C"/>
    <w:rsid w:val="398268AC"/>
    <w:rsid w:val="3BA7084C"/>
    <w:rsid w:val="3CD8089E"/>
    <w:rsid w:val="3E133F77"/>
    <w:rsid w:val="3ED64966"/>
    <w:rsid w:val="3F3E3276"/>
    <w:rsid w:val="42817498"/>
    <w:rsid w:val="44913E48"/>
    <w:rsid w:val="45924862"/>
    <w:rsid w:val="47372A84"/>
    <w:rsid w:val="48B87C5F"/>
    <w:rsid w:val="4B337A07"/>
    <w:rsid w:val="4B342571"/>
    <w:rsid w:val="4D4167A7"/>
    <w:rsid w:val="4D426A4E"/>
    <w:rsid w:val="4DFC2BBE"/>
    <w:rsid w:val="4E02462D"/>
    <w:rsid w:val="4E1B3B06"/>
    <w:rsid w:val="4E9E163B"/>
    <w:rsid w:val="4EA429B1"/>
    <w:rsid w:val="4F574A96"/>
    <w:rsid w:val="4F7B372A"/>
    <w:rsid w:val="511136E9"/>
    <w:rsid w:val="51234079"/>
    <w:rsid w:val="51E241AA"/>
    <w:rsid w:val="5272764F"/>
    <w:rsid w:val="560F5642"/>
    <w:rsid w:val="56CE6835"/>
    <w:rsid w:val="575D6537"/>
    <w:rsid w:val="57974212"/>
    <w:rsid w:val="5A8262B5"/>
    <w:rsid w:val="5AEB20AC"/>
    <w:rsid w:val="5FFC2665"/>
    <w:rsid w:val="618648DC"/>
    <w:rsid w:val="62D141A0"/>
    <w:rsid w:val="63D5114E"/>
    <w:rsid w:val="64132EE3"/>
    <w:rsid w:val="6486016C"/>
    <w:rsid w:val="64FD613B"/>
    <w:rsid w:val="6509385A"/>
    <w:rsid w:val="65735178"/>
    <w:rsid w:val="663D12E2"/>
    <w:rsid w:val="66826478"/>
    <w:rsid w:val="668D3DE3"/>
    <w:rsid w:val="67F56318"/>
    <w:rsid w:val="6A0E36C1"/>
    <w:rsid w:val="6A895479"/>
    <w:rsid w:val="6AF6662F"/>
    <w:rsid w:val="6B6666BF"/>
    <w:rsid w:val="6B826114"/>
    <w:rsid w:val="6C313697"/>
    <w:rsid w:val="6D090170"/>
    <w:rsid w:val="6D3B21C6"/>
    <w:rsid w:val="6E1C284C"/>
    <w:rsid w:val="6F5002D8"/>
    <w:rsid w:val="76B9329B"/>
    <w:rsid w:val="76C863F0"/>
    <w:rsid w:val="77C94015"/>
    <w:rsid w:val="783C3AEF"/>
    <w:rsid w:val="79905EA0"/>
    <w:rsid w:val="79CE0777"/>
    <w:rsid w:val="79ED50A1"/>
    <w:rsid w:val="7A926A27"/>
    <w:rsid w:val="7ADB75EF"/>
    <w:rsid w:val="7B3311D9"/>
    <w:rsid w:val="7C2E19A1"/>
    <w:rsid w:val="7C7E6484"/>
    <w:rsid w:val="7DFF53A3"/>
    <w:rsid w:val="7EAF6DC9"/>
    <w:rsid w:val="7F0709B3"/>
    <w:rsid w:val="7F17496E"/>
    <w:rsid w:val="7F767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spacing w:beforeAutospacing="1" w:afterAutospacing="1"/>
      <w:jc w:val="left"/>
      <w:outlineLvl w:val="1"/>
    </w:pPr>
    <w:rPr>
      <w:rFonts w:hint="eastAsia" w:ascii="宋体" w:hAnsi="宋体"/>
      <w:b/>
      <w:kern w:val="0"/>
      <w:sz w:val="36"/>
      <w:szCs w:val="3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正文样式"/>
    <w:basedOn w:val="3"/>
    <w:qFormat/>
    <w:uiPriority w:val="99"/>
  </w:style>
  <w:style w:type="paragraph" w:customStyle="1" w:styleId="3">
    <w:name w:val="文档格式"/>
    <w:basedOn w:val="1"/>
    <w:next w:val="1"/>
    <w:qFormat/>
    <w:uiPriority w:val="99"/>
    <w:pPr>
      <w:spacing w:line="560" w:lineRule="exact"/>
      <w:ind w:firstLine="883" w:firstLineChars="200"/>
    </w:pPr>
    <w:rPr>
      <w:rFonts w:eastAsia="华文仿宋"/>
      <w:sz w:val="32"/>
      <w:szCs w:val="2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9">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1">
    <w:name w:val="NormalCharacter"/>
    <w:qFormat/>
    <w:uiPriority w:val="0"/>
    <w:rPr>
      <w:rFonts w:ascii="Calibri" w:hAnsi="Calibri" w:eastAsia="宋体" w:cs="Times New Roman"/>
      <w:kern w:val="2"/>
      <w:sz w:val="21"/>
      <w:szCs w:val="24"/>
      <w:lang w:val="en-US" w:eastAsia="zh-CN" w:bidi="ar-SA"/>
    </w:rPr>
  </w:style>
  <w:style w:type="paragraph" w:customStyle="1" w:styleId="12">
    <w:name w:val="Plain Text1"/>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8.png"/><Relationship Id="rId21" Type="http://schemas.openxmlformats.org/officeDocument/2006/relationships/chart" Target="charts/chart6.xml"/><Relationship Id="rId20" Type="http://schemas.openxmlformats.org/officeDocument/2006/relationships/chart" Target="charts/chart5.xml"/><Relationship Id="rId2" Type="http://schemas.openxmlformats.org/officeDocument/2006/relationships/settings" Target="settings.xml"/><Relationship Id="rId19" Type="http://schemas.openxmlformats.org/officeDocument/2006/relationships/chart" Target="charts/chart4.xml"/><Relationship Id="rId18" Type="http://schemas.openxmlformats.org/officeDocument/2006/relationships/chart" Target="charts/chart3.xml"/><Relationship Id="rId17" Type="http://schemas.openxmlformats.org/officeDocument/2006/relationships/chart" Target="charts/chart2.xml"/><Relationship Id="rId16" Type="http://schemas.openxmlformats.org/officeDocument/2006/relationships/chart" Target="charts/chart1.xml"/><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esktop\&#26032;&#24314;%20XLSX%20&#24037;&#20316;&#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E:\2022&#24180;&#36130;&#21153;&#24352;&#29577;&#23071;\&#24037;&#20316;&#27969;&#31243;.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E:\2022&#24180;&#36130;&#21153;&#24352;&#29577;&#23071;\&#24037;&#20316;&#27969;&#31243;.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26032;&#24314;%20XLSX%20&#24037;&#20316;&#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6032;&#24314;%20XLSX%20&#24037;&#20316;&#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E:\2022&#24180;&#36130;&#21153;&#24352;&#29577;&#23071;\&#24037;&#20316;&#27969;&#3124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2020</a:t>
            </a:r>
            <a:r>
              <a:rPr altLang="en-US"/>
              <a:t>年</a:t>
            </a:r>
            <a:r>
              <a:rPr lang="en-US" altLang="zh-CN"/>
              <a:t>-2021</a:t>
            </a:r>
            <a:r>
              <a:rPr altLang="en-US"/>
              <a:t>年收支总计对比情况</a:t>
            </a:r>
            <a:endParaRPr lang="en-US" altLang="zh-CN"/>
          </a:p>
        </c:rich>
      </c:tx>
      <c:layout/>
      <c:overlay val="0"/>
      <c:spPr>
        <a:noFill/>
        <a:ln>
          <a:noFill/>
        </a:ln>
        <a:effectLst/>
      </c:spPr>
    </c:title>
    <c:autoTitleDeleted val="0"/>
    <c:plotArea>
      <c:layout/>
      <c:barChart>
        <c:barDir val="col"/>
        <c:grouping val="stacked"/>
        <c:varyColors val="0"/>
        <c:ser>
          <c:idx val="0"/>
          <c:order val="0"/>
          <c:spPr>
            <a:solidFill>
              <a:schemeClr val="accent1"/>
            </a:solidFill>
            <a:ln>
              <a:noFill/>
            </a:ln>
            <a:effectLst/>
          </c:spPr>
          <c:invertIfNegative val="0"/>
          <c:dLbls>
            <c:dLbl>
              <c:idx val="0"/>
              <c:layout>
                <c:manualLayout>
                  <c:x val="0.00416666666666667"/>
                  <c:y val="-0.15972222222222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833333333333333"/>
                  <c:y val="-0.34722222222222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工作表.xlsx]Sheet1'!$A$1:$A$2</c:f>
              <c:strCache>
                <c:ptCount val="2"/>
                <c:pt idx="0">
                  <c:v>2020年</c:v>
                </c:pt>
                <c:pt idx="1">
                  <c:v>2021年</c:v>
                </c:pt>
              </c:strCache>
            </c:strRef>
          </c:cat>
          <c:val>
            <c:numRef>
              <c:f>'[新建 XLSX 工作表.xlsx]Sheet1'!$B$1:$B$2</c:f>
              <c:numCache>
                <c:formatCode>General</c:formatCode>
                <c:ptCount val="2"/>
                <c:pt idx="0">
                  <c:v>545.86</c:v>
                </c:pt>
                <c:pt idx="1">
                  <c:v>589.4</c:v>
                </c:pt>
              </c:numCache>
            </c:numRef>
          </c:val>
        </c:ser>
        <c:dLbls>
          <c:showLegendKey val="0"/>
          <c:showVal val="1"/>
          <c:showCatName val="0"/>
          <c:showSerName val="0"/>
          <c:showPercent val="0"/>
          <c:showBubbleSize val="0"/>
        </c:dLbls>
        <c:gapWidth val="150"/>
        <c:overlap val="100"/>
        <c:axId val="328602890"/>
        <c:axId val="460058165"/>
      </c:barChart>
      <c:catAx>
        <c:axId val="32860289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0058165"/>
        <c:crosses val="autoZero"/>
        <c:auto val="1"/>
        <c:lblAlgn val="ctr"/>
        <c:lblOffset val="100"/>
        <c:noMultiLvlLbl val="0"/>
      </c:catAx>
      <c:valAx>
        <c:axId val="46005816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860289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tx>
            <c:strRef>
              <c:f>[工作流程.xlsx]Sheet2!$A$1</c:f>
              <c:strCache>
                <c:ptCount val="1"/>
                <c:pt idx="0">
                  <c:v>财政拨款收入</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[工作流程.xlsx]Sheet2!$B$1</c:f>
              <c:numCache>
                <c:formatCode>0.0%</c:formatCode>
                <c:ptCount val="1"/>
                <c:pt idx="0">
                  <c:v>1</c:v>
                </c:pt>
              </c:numCache>
            </c:numRef>
          </c:val>
        </c:ser>
        <c:dLbls>
          <c:showLegendKey val="0"/>
          <c:showVal val="1"/>
          <c:showCatName val="0"/>
          <c:showSerName val="0"/>
          <c:showPercent val="0"/>
          <c:showBubbleSize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[工作流程.xlsx]Sheet2!$A$34:$A$35</c:f>
              <c:strCache>
                <c:ptCount val="2"/>
                <c:pt idx="0">
                  <c:v>基本支出</c:v>
                </c:pt>
                <c:pt idx="1">
                  <c:v>项目支出</c:v>
                </c:pt>
              </c:strCache>
            </c:strRef>
          </c:cat>
          <c:val>
            <c:numRef>
              <c:f>[工作流程.xlsx]Sheet2!$B$34:$B$35</c:f>
              <c:numCache>
                <c:formatCode>0.0%</c:formatCode>
                <c:ptCount val="2"/>
                <c:pt idx="0">
                  <c:v>0.811</c:v>
                </c:pt>
                <c:pt idx="1">
                  <c:v>0.189</c:v>
                </c:pt>
              </c:numCache>
            </c:numRef>
          </c:val>
        </c:ser>
        <c:dLbls>
          <c:showLegendKey val="0"/>
          <c:showVal val="1"/>
          <c:showCatName val="0"/>
          <c:showSerName val="0"/>
          <c:showPercent val="0"/>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4</a:t>
            </a:r>
            <a:endParaRPr lang="en-US" altLang="zh-CN"/>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工作表.xlsx]Sheet1'!$C$54:$C$57</c:f>
              <c:strCache>
                <c:ptCount val="4"/>
                <c:pt idx="0">
                  <c:v>2020年收入</c:v>
                </c:pt>
                <c:pt idx="1">
                  <c:v>2021年收入</c:v>
                </c:pt>
                <c:pt idx="2">
                  <c:v>2020年支出</c:v>
                </c:pt>
                <c:pt idx="3">
                  <c:v>2021年支出</c:v>
                </c:pt>
              </c:strCache>
            </c:strRef>
          </c:cat>
          <c:val>
            <c:numRef>
              <c:f>'[新建 XLSX 工作表.xlsx]Sheet1'!$D$54:$D$57</c:f>
              <c:numCache>
                <c:formatCode>General</c:formatCode>
                <c:ptCount val="4"/>
                <c:pt idx="0">
                  <c:v>439.5</c:v>
                </c:pt>
                <c:pt idx="1">
                  <c:v>569.1</c:v>
                </c:pt>
                <c:pt idx="2">
                  <c:v>545.86</c:v>
                </c:pt>
                <c:pt idx="3">
                  <c:v>589.4</c:v>
                </c:pt>
              </c:numCache>
            </c:numRef>
          </c:val>
        </c:ser>
        <c:dLbls>
          <c:showLegendKey val="0"/>
          <c:showVal val="1"/>
          <c:showCatName val="0"/>
          <c:showSerName val="0"/>
          <c:showPercent val="0"/>
          <c:showBubbleSize val="0"/>
        </c:dLbls>
        <c:gapWidth val="150"/>
        <c:overlap val="-25"/>
        <c:axId val="476609155"/>
        <c:axId val="753033680"/>
      </c:barChart>
      <c:catAx>
        <c:axId val="47660915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3033680"/>
        <c:crosses val="autoZero"/>
        <c:auto val="1"/>
        <c:lblAlgn val="ctr"/>
        <c:lblOffset val="100"/>
        <c:noMultiLvlLbl val="0"/>
      </c:catAx>
      <c:valAx>
        <c:axId val="753033680"/>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66091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5</a:t>
            </a:r>
            <a:endParaRPr lang="en-US" altLang="zh-CN"/>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工作表.xlsx]Sheet1'!$C$70:$C$73</c:f>
              <c:strCache>
                <c:ptCount val="4"/>
                <c:pt idx="0">
                  <c:v>预算收入</c:v>
                </c:pt>
                <c:pt idx="1">
                  <c:v>决算收入</c:v>
                </c:pt>
                <c:pt idx="2">
                  <c:v>预算支出</c:v>
                </c:pt>
                <c:pt idx="3">
                  <c:v>决算支出</c:v>
                </c:pt>
              </c:strCache>
            </c:strRef>
          </c:cat>
          <c:val>
            <c:numRef>
              <c:f>'[新建 XLSX 工作表.xlsx]Sheet1'!$D$70:$D$73</c:f>
              <c:numCache>
                <c:formatCode>General</c:formatCode>
                <c:ptCount val="4"/>
                <c:pt idx="0">
                  <c:v>449.1</c:v>
                </c:pt>
                <c:pt idx="1">
                  <c:v>569.1</c:v>
                </c:pt>
                <c:pt idx="2">
                  <c:v>449.1</c:v>
                </c:pt>
                <c:pt idx="3">
                  <c:v>589.4</c:v>
                </c:pt>
              </c:numCache>
            </c:numRef>
          </c:val>
        </c:ser>
        <c:dLbls>
          <c:showLegendKey val="0"/>
          <c:showVal val="1"/>
          <c:showCatName val="0"/>
          <c:showSerName val="0"/>
          <c:showPercent val="0"/>
          <c:showBubbleSize val="0"/>
        </c:dLbls>
        <c:gapWidth val="150"/>
        <c:overlap val="-25"/>
        <c:axId val="20816817"/>
        <c:axId val="535170045"/>
      </c:barChart>
      <c:catAx>
        <c:axId val="2081681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5170045"/>
        <c:crosses val="autoZero"/>
        <c:auto val="1"/>
        <c:lblAlgn val="ctr"/>
        <c:lblOffset val="100"/>
        <c:noMultiLvlLbl val="0"/>
      </c:catAx>
      <c:valAx>
        <c:axId val="535170045"/>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81681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6</a:t>
            </a:r>
            <a:endParaRPr lang="en-US" altLang="zh-CN"/>
          </a:p>
        </c:rich>
      </c:tx>
      <c:layout>
        <c:manualLayout>
          <c:xMode val="edge"/>
          <c:yMode val="edge"/>
          <c:x val="0.468611111111111"/>
          <c:y val="0.0416666666666667"/>
        </c:manualLayout>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Pt>
            <c:idx val="3"/>
            <c:bubble3D val="0"/>
            <c:spPr>
              <a:solidFill>
                <a:schemeClr val="accent4"/>
              </a:solidFill>
              <a:ln w="25400">
                <a:solidFill>
                  <a:schemeClr val="lt1"/>
                </a:solidFill>
              </a:ln>
              <a:effectLst/>
              <a:scene3d>
                <a:camera prst="orthographicFront"/>
                <a:lightRig rig="threePt" dir="t"/>
              </a:scene3d>
              <a:sp3d contourW="25400"/>
            </c:spPr>
          </c:dPt>
          <c:dPt>
            <c:idx val="4"/>
            <c:bubble3D val="0"/>
            <c:spPr>
              <a:solidFill>
                <a:schemeClr val="accent5"/>
              </a:solidFill>
              <a:ln w="25400">
                <a:solidFill>
                  <a:schemeClr val="lt1"/>
                </a:solidFill>
              </a:ln>
              <a:effectLst/>
              <a:scene3d>
                <a:camera prst="orthographicFront"/>
                <a:lightRig rig="threePt" dir="t"/>
              </a:scene3d>
              <a:sp3d contourW="25400"/>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[工作流程.xlsx]Sheet2!$A$43:$A$47</c:f>
              <c:strCache>
                <c:ptCount val="5"/>
                <c:pt idx="0">
                  <c:v>一般公共服务类</c:v>
                </c:pt>
                <c:pt idx="1">
                  <c:v>公共安全类</c:v>
                </c:pt>
                <c:pt idx="2">
                  <c:v>社会保障和就业类</c:v>
                </c:pt>
                <c:pt idx="3">
                  <c:v>卫生健康类</c:v>
                </c:pt>
                <c:pt idx="4">
                  <c:v>住房保障类</c:v>
                </c:pt>
              </c:strCache>
            </c:strRef>
          </c:cat>
          <c:val>
            <c:numRef>
              <c:f>[工作流程.xlsx]Sheet2!$B$43:$B$47</c:f>
              <c:numCache>
                <c:formatCode>0.0%</c:formatCode>
                <c:ptCount val="5"/>
                <c:pt idx="0">
                  <c:v>0.814</c:v>
                </c:pt>
                <c:pt idx="1">
                  <c:v>0.013</c:v>
                </c:pt>
                <c:pt idx="2">
                  <c:v>0.078</c:v>
                </c:pt>
                <c:pt idx="3">
                  <c:v>0.048</c:v>
                </c:pt>
                <c:pt idx="4">
                  <c:v>0.047</c:v>
                </c:pt>
              </c:numCache>
            </c:numRef>
          </c:val>
        </c:ser>
        <c:dLbls>
          <c:showLegendKey val="0"/>
          <c:showVal val="1"/>
          <c:showCatName val="0"/>
          <c:showSerName val="0"/>
          <c:showPercent val="0"/>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35"/>
    <customShpInfo spid="_x0000_s1036"/>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Info spid="_x0000_s1038"/>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36</Pages>
  <Words>12467</Words>
  <Characters>14581</Characters>
  <Lines>81</Lines>
  <Paragraphs>22</Paragraphs>
  <TotalTime>2</TotalTime>
  <ScaleCrop>false</ScaleCrop>
  <LinksUpToDate>false</LinksUpToDate>
  <CharactersWithSpaces>14901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2022-08-11T02:40:00Z</dcterms:created>
  <dc:creator>王明新TIAD</dc:creator>
  <cp:lastModifiedBy>a</cp:lastModifiedBy>
  <dcterms:modified xsi:type="dcterms:W3CDTF">2023-08-02T01:19:35Z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KSOTemplateUUID">
    <vt:lpwstr>v1.0_mb_S7ajbG3IpAnL1wSthNCxfw==</vt:lpwstr>
  </property>
  <property fmtid="{D5CDD505-2E9C-101B-9397-08002B2CF9AE}" pid="4" name="ICV">
    <vt:lpwstr>1515CEFC20754C3380B382230295B456</vt:lpwstr>
  </property>
</Properties>
</file>