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29</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both"/>
        <w:outlineLvl w:val="9"/>
      </w:pPr>
    </w:p>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712共青团张家口市委员会</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665.27</w:t>
            </w:r>
          </w:p>
        </w:tc>
        <w:tc>
          <w:tcPr>
            <w:tcW w:w="4535" w:type="dxa"/>
            <w:vAlign w:val="center"/>
          </w:tcPr>
          <w:p>
            <w:pPr>
              <w:pStyle w:val="16"/>
            </w:pPr>
            <w:r>
              <w:t>一、一般公共服务支出</w:t>
            </w:r>
          </w:p>
        </w:tc>
        <w:tc>
          <w:tcPr>
            <w:tcW w:w="2126" w:type="dxa"/>
            <w:vAlign w:val="center"/>
          </w:tcPr>
          <w:p>
            <w:pPr>
              <w:pStyle w:val="15"/>
              <w:rPr>
                <w:rFonts w:hint="default" w:eastAsia="方正书宋_GBK"/>
                <w:lang w:val="en-US" w:eastAsia="zh-CN"/>
              </w:rPr>
            </w:pPr>
            <w:r>
              <w:rPr>
                <w:rFonts w:hint="eastAsia"/>
                <w:lang w:val="en-US" w:eastAsia="zh-CN"/>
              </w:rPr>
              <w:t>519.67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68.28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35.43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44.19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Align w:val="center"/>
                </w:tcPr>
                <w:p>
                  <w:pPr>
                    <w:pStyle w:val="19"/>
                    <w:rPr>
                      <w:rFonts w:hint="default" w:eastAsia="方正书宋_GBK"/>
                      <w:lang w:val="en-US" w:eastAsia="zh-CN"/>
                    </w:rPr>
                  </w:pPr>
                  <w:r>
                    <w:rPr>
                      <w:rFonts w:hint="eastAsia"/>
                      <w:lang w:val="en-US" w:eastAsia="zh-CN"/>
                    </w:rPr>
                    <w:t>665.27</w:t>
                  </w:r>
                </w:p>
              </w:tc>
            </w:tr>
          </w:tbl>
          <w:p>
            <w:pPr>
              <w:pStyle w:val="19"/>
            </w:pPr>
          </w:p>
        </w:tc>
        <w:tc>
          <w:tcPr>
            <w:tcW w:w="4535" w:type="dxa"/>
            <w:vAlign w:val="center"/>
          </w:tcPr>
          <w:p>
            <w:pPr>
              <w:pStyle w:val="18"/>
            </w:pPr>
            <w:r>
              <w:t>本年支出合计</w:t>
            </w:r>
          </w:p>
        </w:tc>
        <w:tc>
          <w:tcPr>
            <w:tcW w:w="2126" w:type="dxa"/>
            <w:vAlign w:val="center"/>
          </w:tcPr>
          <w:p>
            <w:pPr>
              <w:pStyle w:val="19"/>
              <w:rPr>
                <w:rFonts w:hint="default" w:eastAsia="方正书宋_GBK"/>
                <w:lang w:val="en-US" w:eastAsia="zh-CN"/>
              </w:rPr>
            </w:pPr>
            <w:r>
              <w:rPr>
                <w:rFonts w:hint="eastAsia"/>
                <w:lang w:val="en-US" w:eastAsia="zh-CN"/>
              </w:rPr>
              <w:t>667.57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rPr>
                <w:rFonts w:hint="default" w:eastAsia="方正书宋_GBK"/>
                <w:lang w:val="en-US" w:eastAsia="zh-CN"/>
              </w:rPr>
            </w:pPr>
            <w:r>
              <w:rPr>
                <w:rFonts w:hint="eastAsia" w:ascii="方正书宋_GBK" w:hAnsi="方正书宋_GBK" w:eastAsia="方正书宋_GBK" w:cs="方正书宋_GBK"/>
                <w:b/>
                <w:sz w:val="21"/>
                <w:szCs w:val="24"/>
                <w:lang w:val="en-US" w:eastAsia="zh-CN" w:bidi="ar-SA"/>
              </w:rPr>
              <w:t>2.3</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rPr>
                <w:rFonts w:hint="default" w:eastAsia="方正书宋_GBK"/>
                <w:lang w:val="en-US" w:eastAsia="zh-CN"/>
              </w:rPr>
            </w:pPr>
            <w:r>
              <w:rPr>
                <w:rFonts w:hint="eastAsia"/>
                <w:lang w:val="en-US" w:eastAsia="zh-CN"/>
              </w:rPr>
              <w:t>667.57</w:t>
            </w:r>
          </w:p>
        </w:tc>
        <w:tc>
          <w:tcPr>
            <w:tcW w:w="4535" w:type="dxa"/>
            <w:vAlign w:val="center"/>
          </w:tcPr>
          <w:p>
            <w:pPr>
              <w:pStyle w:val="18"/>
            </w:pPr>
            <w:r>
              <w:t>支出总计</w:t>
            </w:r>
          </w:p>
        </w:tc>
        <w:tc>
          <w:tcPr>
            <w:tcW w:w="2126" w:type="dxa"/>
            <w:vAlign w:val="center"/>
          </w:tcPr>
          <w:p>
            <w:pPr>
              <w:pStyle w:val="19"/>
              <w:rPr>
                <w:rFonts w:hint="default" w:eastAsia="方正书宋_GBK"/>
                <w:lang w:val="en-US" w:eastAsia="zh-CN"/>
              </w:rPr>
            </w:pPr>
            <w:r>
              <w:rPr>
                <w:rFonts w:hint="eastAsia"/>
                <w:lang w:val="en-US" w:eastAsia="zh-CN"/>
              </w:rPr>
              <w:t>667.57</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966"/>
        <w:gridCol w:w="1513"/>
        <w:gridCol w:w="1103"/>
        <w:gridCol w:w="1103"/>
        <w:gridCol w:w="1103"/>
        <w:gridCol w:w="1103"/>
        <w:gridCol w:w="1103"/>
        <w:gridCol w:w="1103"/>
        <w:gridCol w:w="1103"/>
        <w:gridCol w:w="1103"/>
        <w:gridCol w:w="1103"/>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712共青团张家口市委员会</w:t>
            </w:r>
          </w:p>
        </w:tc>
        <w:tc>
          <w:tcPr>
            <w:tcW w:w="3402" w:type="dxa"/>
            <w:gridSpan w:val="3"/>
            <w:tcBorders>
              <w:top w:val="single" w:color="FFFFFF" w:sz="6" w:space="0"/>
              <w:left w:val="single" w:color="FFFFFF" w:sz="6" w:space="0"/>
              <w:right w:val="single" w:color="FFFFFF" w:sz="6" w:space="0"/>
            </w:tcBorders>
            <w:vAlign w:val="center"/>
          </w:tcPr>
          <w:p>
            <w:pPr>
              <w:pStyle w:val="12"/>
              <w:rPr>
                <w:rFonts w:hint="default" w:eastAsia="方正小标宋_GBK"/>
                <w:lang w:val="en-US" w:eastAsia="zh-CN"/>
              </w:rPr>
            </w:pPr>
            <w:r>
              <w:t>预算年度：2</w:t>
            </w:r>
            <w:r>
              <w:rPr>
                <w:rFonts w:hint="eastAsia"/>
                <w:lang w:val="en-US" w:eastAsia="zh-CN"/>
              </w:rPr>
              <w:t>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rFonts w:hint="default" w:eastAsia="方正书宋_GBK"/>
                <w:lang w:val="en-US" w:eastAsia="zh-CN"/>
              </w:rPr>
            </w:pPr>
            <w:r>
              <w:rPr>
                <w:rFonts w:hint="eastAsia"/>
                <w:lang w:val="en-US" w:eastAsia="zh-CN"/>
              </w:rPr>
              <w:t>667.57</w:t>
            </w:r>
          </w:p>
        </w:tc>
        <w:tc>
          <w:tcPr>
            <w:tcW w:w="1134" w:type="dxa"/>
            <w:vAlign w:val="center"/>
          </w:tcPr>
          <w:p>
            <w:pP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667.57</w:t>
            </w:r>
          </w:p>
        </w:tc>
        <w:tc>
          <w:tcPr>
            <w:tcW w:w="1134" w:type="dxa"/>
            <w:vAlign w:val="center"/>
          </w:tcPr>
          <w:p>
            <w:pP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667.57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ind w:firstLine="0" w:firstLineChars="0"/>
              <w:rPr>
                <w:rFonts w:hint="default" w:eastAsia="方正书宋_GBK"/>
                <w:lang w:val="en-US" w:eastAsia="zh-CN"/>
              </w:rPr>
            </w:pPr>
            <w:r>
              <w:rPr>
                <w:rFonts w:hint="eastAsia"/>
                <w:lang w:val="en-US" w:eastAsia="zh-CN"/>
              </w:rPr>
              <w:t>519.67</w:t>
            </w:r>
          </w:p>
        </w:tc>
        <w:tc>
          <w:tcPr>
            <w:tcW w:w="1134" w:type="dxa"/>
            <w:vAlign w:val="center"/>
          </w:tcPr>
          <w:p>
            <w:pPr>
              <w:pStyle w:val="15"/>
              <w:ind w:firstLine="0" w:firstLineChars="0"/>
              <w:rPr>
                <w:rFonts w:hint="default" w:eastAsia="方正书宋_GBK"/>
                <w:lang w:val="en-US" w:eastAsia="zh-CN"/>
              </w:rPr>
            </w:pPr>
            <w:r>
              <w:rPr>
                <w:rFonts w:hint="eastAsia"/>
                <w:lang w:val="en-US" w:eastAsia="zh-CN"/>
              </w:rPr>
              <w:t>519.67</w:t>
            </w:r>
          </w:p>
        </w:tc>
        <w:tc>
          <w:tcPr>
            <w:tcW w:w="1134" w:type="dxa"/>
            <w:vAlign w:val="center"/>
          </w:tcPr>
          <w:p>
            <w:pPr>
              <w:pStyle w:val="15"/>
              <w:ind w:firstLine="0" w:firstLineChars="0"/>
              <w:rPr>
                <w:rFonts w:hint="default" w:eastAsia="方正书宋_GBK"/>
                <w:lang w:val="en-US" w:eastAsia="zh-CN"/>
              </w:rPr>
            </w:pPr>
            <w:r>
              <w:rPr>
                <w:rFonts w:hint="eastAsia"/>
                <w:lang w:val="en-US" w:eastAsia="zh-CN"/>
              </w:rPr>
              <w:t>519.67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20129</w:t>
            </w:r>
          </w:p>
        </w:tc>
        <w:tc>
          <w:tcPr>
            <w:tcW w:w="1559" w:type="dxa"/>
            <w:vAlign w:val="center"/>
          </w:tcPr>
          <w:p>
            <w:pPr>
              <w:pStyle w:val="16"/>
            </w:pPr>
            <w:r>
              <w:t>群众团体事务</w:t>
            </w:r>
          </w:p>
        </w:tc>
        <w:tc>
          <w:tcPr>
            <w:tcW w:w="1134" w:type="dxa"/>
            <w:vAlign w:val="center"/>
          </w:tcPr>
          <w:p>
            <w:pPr>
              <w:pStyle w:val="15"/>
              <w:rPr>
                <w:rFonts w:hint="default" w:eastAsia="方正书宋_GBK"/>
                <w:lang w:val="en-US" w:eastAsia="zh-CN"/>
              </w:rPr>
            </w:pPr>
            <w:r>
              <w:rPr>
                <w:rFonts w:hint="eastAsia"/>
                <w:lang w:val="en-US" w:eastAsia="zh-CN"/>
              </w:rPr>
              <w:t>519.67</w:t>
            </w:r>
          </w:p>
        </w:tc>
        <w:tc>
          <w:tcPr>
            <w:tcW w:w="1134" w:type="dxa"/>
            <w:vAlign w:val="center"/>
          </w:tcPr>
          <w:p>
            <w:pPr>
              <w:pStyle w:val="15"/>
              <w:rPr>
                <w:rFonts w:hint="default" w:eastAsia="方正书宋_GBK"/>
                <w:lang w:val="en-US" w:eastAsia="zh-CN"/>
              </w:rPr>
            </w:pPr>
            <w:r>
              <w:rPr>
                <w:rFonts w:hint="eastAsia"/>
                <w:lang w:val="en-US" w:eastAsia="zh-CN"/>
              </w:rPr>
              <w:t>519.67</w:t>
            </w:r>
          </w:p>
        </w:tc>
        <w:tc>
          <w:tcPr>
            <w:tcW w:w="1134" w:type="dxa"/>
            <w:vAlign w:val="center"/>
          </w:tcPr>
          <w:p>
            <w:pPr>
              <w:pStyle w:val="15"/>
              <w:rPr>
                <w:rFonts w:hint="default"/>
                <w:lang w:val="en-US"/>
              </w:rPr>
            </w:pPr>
            <w:r>
              <w:rPr>
                <w:rFonts w:hint="eastAsia"/>
                <w:lang w:val="en-US" w:eastAsia="zh-CN"/>
              </w:rPr>
              <w:t>519.67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2012901</w:t>
            </w:r>
          </w:p>
        </w:tc>
        <w:tc>
          <w:tcPr>
            <w:tcW w:w="1559" w:type="dxa"/>
            <w:vAlign w:val="center"/>
          </w:tcPr>
          <w:p>
            <w:pPr>
              <w:pStyle w:val="16"/>
            </w:pPr>
            <w:r>
              <w:t>行政运行</w:t>
            </w:r>
          </w:p>
        </w:tc>
        <w:tc>
          <w:tcPr>
            <w:tcW w:w="1134" w:type="dxa"/>
            <w:vAlign w:val="center"/>
          </w:tcPr>
          <w:p>
            <w:pPr>
              <w:pStyle w:val="15"/>
              <w:rPr>
                <w:rFonts w:hint="default" w:eastAsia="方正书宋_GBK"/>
                <w:lang w:val="en-US" w:eastAsia="zh-CN"/>
              </w:rPr>
            </w:pPr>
            <w:r>
              <w:rPr>
                <w:rFonts w:hint="eastAsia"/>
                <w:lang w:val="en-US" w:eastAsia="zh-CN"/>
              </w:rPr>
              <w:t>237.74</w:t>
            </w:r>
          </w:p>
        </w:tc>
        <w:tc>
          <w:tcPr>
            <w:tcW w:w="1134" w:type="dxa"/>
            <w:vAlign w:val="center"/>
          </w:tcPr>
          <w:p>
            <w:pPr>
              <w:pStyle w:val="15"/>
              <w:rPr>
                <w:rFonts w:hint="default" w:eastAsia="方正书宋_GBK"/>
                <w:lang w:val="en-US" w:eastAsia="zh-CN"/>
              </w:rPr>
            </w:pPr>
            <w:r>
              <w:rPr>
                <w:rFonts w:hint="eastAsia"/>
                <w:lang w:val="en-US" w:eastAsia="zh-CN"/>
              </w:rPr>
              <w:t>237.74</w:t>
            </w:r>
          </w:p>
        </w:tc>
        <w:tc>
          <w:tcPr>
            <w:tcW w:w="1134" w:type="dxa"/>
            <w:vAlign w:val="center"/>
          </w:tcPr>
          <w:p>
            <w:pPr>
              <w:pStyle w:val="15"/>
              <w:rPr>
                <w:rFonts w:hint="default" w:eastAsia="方正书宋_GBK"/>
                <w:lang w:val="en-US" w:eastAsia="zh-CN"/>
              </w:rPr>
            </w:pPr>
            <w:r>
              <w:rPr>
                <w:rFonts w:hint="eastAsia"/>
                <w:lang w:val="en-US" w:eastAsia="zh-CN"/>
              </w:rPr>
              <w:t>237.74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2012902</w:t>
            </w:r>
          </w:p>
        </w:tc>
        <w:tc>
          <w:tcPr>
            <w:tcW w:w="1559" w:type="dxa"/>
            <w:vAlign w:val="center"/>
          </w:tcPr>
          <w:p>
            <w:pPr>
              <w:pStyle w:val="16"/>
            </w:pPr>
            <w:r>
              <w:t>一般行政管理事务</w:t>
            </w:r>
          </w:p>
        </w:tc>
        <w:tc>
          <w:tcPr>
            <w:tcW w:w="1134" w:type="dxa"/>
            <w:vAlign w:val="center"/>
          </w:tcPr>
          <w:p>
            <w:pPr>
              <w:pStyle w:val="15"/>
              <w:rPr>
                <w:rFonts w:hint="default" w:eastAsia="方正书宋_GBK"/>
                <w:lang w:val="en-US" w:eastAsia="zh-CN"/>
              </w:rPr>
            </w:pPr>
            <w:r>
              <w:rPr>
                <w:rFonts w:hint="eastAsia"/>
                <w:lang w:val="en-US" w:eastAsia="zh-CN"/>
              </w:rPr>
              <w:t>59.2</w:t>
            </w:r>
          </w:p>
        </w:tc>
        <w:tc>
          <w:tcPr>
            <w:tcW w:w="1134" w:type="dxa"/>
            <w:vAlign w:val="center"/>
          </w:tcPr>
          <w:p>
            <w:pPr>
              <w:pStyle w:val="15"/>
              <w:rPr>
                <w:rFonts w:hint="default" w:eastAsia="方正书宋_GBK"/>
                <w:lang w:val="en-US" w:eastAsia="zh-CN"/>
              </w:rPr>
            </w:pPr>
            <w:r>
              <w:rPr>
                <w:rFonts w:hint="eastAsia"/>
                <w:lang w:val="en-US" w:eastAsia="zh-CN"/>
              </w:rPr>
              <w:t>59.2</w:t>
            </w:r>
          </w:p>
        </w:tc>
        <w:tc>
          <w:tcPr>
            <w:tcW w:w="1134" w:type="dxa"/>
            <w:vAlign w:val="center"/>
          </w:tcPr>
          <w:p>
            <w:pPr>
              <w:pStyle w:val="15"/>
              <w:rPr>
                <w:rFonts w:hint="default" w:eastAsia="方正书宋_GBK"/>
                <w:lang w:val="en-US" w:eastAsia="zh-CN"/>
              </w:rPr>
            </w:pPr>
            <w:r>
              <w:rPr>
                <w:rFonts w:hint="eastAsia"/>
                <w:lang w:val="en-US" w:eastAsia="zh-CN"/>
              </w:rPr>
              <w:t>59.2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2012950</w:t>
            </w:r>
          </w:p>
        </w:tc>
        <w:tc>
          <w:tcPr>
            <w:tcW w:w="1559" w:type="dxa"/>
            <w:vAlign w:val="center"/>
          </w:tcPr>
          <w:p>
            <w:pPr>
              <w:pStyle w:val="16"/>
            </w:pPr>
            <w:r>
              <w:t>事业运行</w:t>
            </w:r>
          </w:p>
        </w:tc>
        <w:tc>
          <w:tcPr>
            <w:tcW w:w="1134" w:type="dxa"/>
            <w:vAlign w:val="center"/>
          </w:tcPr>
          <w:p>
            <w:pPr>
              <w:pStyle w:val="15"/>
              <w:rPr>
                <w:rFonts w:hint="default" w:eastAsia="方正书宋_GBK"/>
                <w:lang w:val="en-US" w:eastAsia="zh-CN"/>
              </w:rPr>
            </w:pPr>
            <w:r>
              <w:rPr>
                <w:rFonts w:hint="eastAsia"/>
                <w:lang w:val="en-US" w:eastAsia="zh-CN"/>
              </w:rPr>
              <w:t>222.73</w:t>
            </w:r>
          </w:p>
        </w:tc>
        <w:tc>
          <w:tcPr>
            <w:tcW w:w="1134" w:type="dxa"/>
            <w:vAlign w:val="center"/>
          </w:tcPr>
          <w:p>
            <w:pPr>
              <w:pStyle w:val="15"/>
              <w:rPr>
                <w:rFonts w:hint="default" w:eastAsia="方正书宋_GBK"/>
                <w:lang w:val="en-US" w:eastAsia="zh-CN"/>
              </w:rPr>
            </w:pPr>
            <w:r>
              <w:rPr>
                <w:rFonts w:hint="eastAsia"/>
                <w:lang w:val="en-US" w:eastAsia="zh-CN"/>
              </w:rPr>
              <w:t>222.73</w:t>
            </w:r>
          </w:p>
        </w:tc>
        <w:tc>
          <w:tcPr>
            <w:tcW w:w="1134" w:type="dxa"/>
            <w:vAlign w:val="center"/>
          </w:tcPr>
          <w:p>
            <w:pPr>
              <w:pStyle w:val="15"/>
              <w:rPr>
                <w:rFonts w:hint="default" w:eastAsia="方正书宋_GBK"/>
                <w:lang w:val="en-US" w:eastAsia="zh-CN"/>
              </w:rPr>
            </w:pPr>
            <w:r>
              <w:rPr>
                <w:rFonts w:hint="eastAsia"/>
                <w:lang w:val="en-US" w:eastAsia="zh-CN"/>
              </w:rPr>
              <w:t>222.73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rFonts w:hint="default" w:eastAsia="方正书宋_GBK"/>
                <w:lang w:val="en-US" w:eastAsia="zh-CN"/>
              </w:rPr>
            </w:pPr>
            <w:r>
              <w:rPr>
                <w:rFonts w:hint="eastAsia"/>
                <w:lang w:val="en-US" w:eastAsia="zh-CN"/>
              </w:rPr>
              <w:t>68.28</w:t>
            </w:r>
          </w:p>
        </w:tc>
        <w:tc>
          <w:tcPr>
            <w:tcW w:w="1134" w:type="dxa"/>
            <w:vAlign w:val="center"/>
          </w:tcPr>
          <w:p>
            <w:pPr>
              <w:pStyle w:val="15"/>
              <w:rPr>
                <w:rFonts w:hint="default" w:eastAsia="方正书宋_GBK"/>
                <w:lang w:val="en-US" w:eastAsia="zh-CN"/>
              </w:rPr>
            </w:pPr>
            <w:r>
              <w:rPr>
                <w:rFonts w:hint="eastAsia"/>
                <w:lang w:val="en-US" w:eastAsia="zh-CN"/>
              </w:rPr>
              <w:t>68.28</w:t>
            </w:r>
          </w:p>
        </w:tc>
        <w:tc>
          <w:tcPr>
            <w:tcW w:w="1134" w:type="dxa"/>
            <w:vAlign w:val="center"/>
          </w:tcPr>
          <w:p>
            <w:pPr>
              <w:pStyle w:val="15"/>
              <w:rPr>
                <w:rFonts w:hint="default" w:eastAsia="方正书宋_GBK"/>
                <w:lang w:val="en-US" w:eastAsia="zh-CN"/>
              </w:rPr>
            </w:pPr>
            <w:r>
              <w:rPr>
                <w:rFonts w:hint="eastAsia"/>
                <w:lang w:val="en-US" w:eastAsia="zh-CN"/>
              </w:rPr>
              <w:t>68.28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rFonts w:hint="default" w:eastAsia="方正书宋_GBK"/>
                <w:lang w:val="en-US" w:eastAsia="zh-CN"/>
              </w:rPr>
            </w:pPr>
            <w:r>
              <w:rPr>
                <w:rFonts w:hint="eastAsia"/>
                <w:lang w:val="en-US" w:eastAsia="zh-CN"/>
              </w:rPr>
              <w:t>68.28</w:t>
            </w:r>
          </w:p>
        </w:tc>
        <w:tc>
          <w:tcPr>
            <w:tcW w:w="1134" w:type="dxa"/>
            <w:vAlign w:val="center"/>
          </w:tcPr>
          <w:p>
            <w:pPr>
              <w:pStyle w:val="15"/>
            </w:pPr>
            <w:r>
              <w:rPr>
                <w:rFonts w:hint="eastAsia"/>
                <w:lang w:val="en-US" w:eastAsia="zh-CN"/>
              </w:rPr>
              <w:t>68.28</w:t>
            </w:r>
          </w:p>
        </w:tc>
        <w:tc>
          <w:tcPr>
            <w:tcW w:w="1134" w:type="dxa"/>
            <w:vAlign w:val="center"/>
          </w:tcPr>
          <w:p>
            <w:pPr>
              <w:pStyle w:val="15"/>
              <w:rPr>
                <w:rFonts w:hint="default" w:eastAsia="方正书宋_GBK"/>
                <w:lang w:val="en-US" w:eastAsia="zh-CN"/>
              </w:rPr>
            </w:pPr>
            <w:r>
              <w:rPr>
                <w:rFonts w:hint="eastAsia"/>
                <w:lang w:val="en-US" w:eastAsia="zh-CN"/>
              </w:rPr>
              <w:t>68.28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rPr>
                <w:rFonts w:hint="default" w:eastAsia="方正书宋_GBK"/>
                <w:lang w:val="en-US" w:eastAsia="zh-CN"/>
              </w:rPr>
            </w:pPr>
            <w:r>
              <w:rPr>
                <w:rFonts w:hint="eastAsia"/>
                <w:lang w:val="en-US" w:eastAsia="zh-CN"/>
              </w:rPr>
              <w:t>9.37</w:t>
            </w:r>
          </w:p>
        </w:tc>
        <w:tc>
          <w:tcPr>
            <w:tcW w:w="1134" w:type="dxa"/>
            <w:vAlign w:val="center"/>
          </w:tcPr>
          <w:p>
            <w:pPr>
              <w:pStyle w:val="15"/>
              <w:rPr>
                <w:rFonts w:hint="default" w:eastAsia="方正书宋_GBK"/>
                <w:lang w:val="en-US" w:eastAsia="zh-CN"/>
              </w:rPr>
            </w:pPr>
            <w:r>
              <w:rPr>
                <w:rFonts w:hint="eastAsia"/>
                <w:lang w:val="en-US" w:eastAsia="zh-CN"/>
              </w:rPr>
              <w:t>9.37</w:t>
            </w:r>
          </w:p>
        </w:tc>
        <w:tc>
          <w:tcPr>
            <w:tcW w:w="1134" w:type="dxa"/>
            <w:vAlign w:val="center"/>
          </w:tcPr>
          <w:p>
            <w:pPr>
              <w:pStyle w:val="15"/>
              <w:rPr>
                <w:rFonts w:hint="default" w:eastAsia="方正书宋_GBK"/>
                <w:lang w:val="en-US" w:eastAsia="zh-CN"/>
              </w:rPr>
            </w:pPr>
            <w:r>
              <w:rPr>
                <w:rFonts w:hint="eastAsia"/>
                <w:lang w:val="en-US" w:eastAsia="zh-CN"/>
              </w:rPr>
              <w:t>9.37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rFonts w:hint="default" w:eastAsia="方正书宋_GBK"/>
                <w:lang w:val="en-US" w:eastAsia="zh-CN"/>
              </w:rPr>
            </w:pPr>
            <w:r>
              <w:rPr>
                <w:rFonts w:hint="eastAsia"/>
                <w:lang w:val="en-US" w:eastAsia="zh-CN"/>
              </w:rPr>
              <w:t>58.92</w:t>
            </w:r>
          </w:p>
        </w:tc>
        <w:tc>
          <w:tcPr>
            <w:tcW w:w="1134" w:type="dxa"/>
            <w:vAlign w:val="center"/>
          </w:tcPr>
          <w:p>
            <w:pPr>
              <w:pStyle w:val="15"/>
              <w:rPr>
                <w:rFonts w:hint="default" w:eastAsia="方正书宋_GBK"/>
                <w:lang w:val="en-US" w:eastAsia="zh-CN"/>
              </w:rPr>
            </w:pPr>
            <w:r>
              <w:rPr>
                <w:rFonts w:hint="eastAsia"/>
                <w:lang w:val="en-US" w:eastAsia="zh-CN"/>
              </w:rPr>
              <w:t>58.92</w:t>
            </w:r>
          </w:p>
        </w:tc>
        <w:tc>
          <w:tcPr>
            <w:tcW w:w="1134" w:type="dxa"/>
            <w:vAlign w:val="center"/>
          </w:tcPr>
          <w:p>
            <w:pPr>
              <w:pStyle w:val="15"/>
              <w:rPr>
                <w:rFonts w:hint="default" w:eastAsia="方正书宋_GBK"/>
                <w:lang w:val="en-US" w:eastAsia="zh-CN"/>
              </w:rPr>
            </w:pPr>
            <w:r>
              <w:rPr>
                <w:rFonts w:hint="eastAsia"/>
                <w:lang w:val="en-US" w:eastAsia="zh-CN"/>
              </w:rPr>
              <w:t>58.92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rPr>
                <w:rFonts w:hint="default" w:eastAsia="方正书宋_GBK"/>
                <w:lang w:val="en-US" w:eastAsia="zh-CN"/>
              </w:rPr>
            </w:pPr>
            <w:r>
              <w:rPr>
                <w:rFonts w:hint="eastAsia"/>
                <w:lang w:val="en-US" w:eastAsia="zh-CN"/>
              </w:rPr>
              <w:t>35.43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rFonts w:hint="default" w:eastAsia="方正书宋_GBK"/>
                <w:lang w:val="en-US" w:eastAsia="zh-CN"/>
              </w:rPr>
            </w:pPr>
            <w:r>
              <w:rPr>
                <w:rFonts w:hint="eastAsia"/>
                <w:lang w:val="en-US" w:eastAsia="zh-CN"/>
              </w:rPr>
              <w:t>16.53</w:t>
            </w:r>
          </w:p>
        </w:tc>
        <w:tc>
          <w:tcPr>
            <w:tcW w:w="1134" w:type="dxa"/>
            <w:vAlign w:val="center"/>
          </w:tcPr>
          <w:p>
            <w:pPr>
              <w:pStyle w:val="15"/>
              <w:rPr>
                <w:rFonts w:hint="default" w:eastAsia="方正书宋_GBK"/>
                <w:lang w:val="en-US" w:eastAsia="zh-CN"/>
              </w:rPr>
            </w:pPr>
            <w:r>
              <w:rPr>
                <w:rFonts w:hint="eastAsia"/>
                <w:lang w:val="en-US" w:eastAsia="zh-CN"/>
              </w:rPr>
              <w:t>16.53</w:t>
            </w:r>
          </w:p>
        </w:tc>
        <w:tc>
          <w:tcPr>
            <w:tcW w:w="1134" w:type="dxa"/>
            <w:vAlign w:val="center"/>
          </w:tcPr>
          <w:p>
            <w:pPr>
              <w:pStyle w:val="15"/>
              <w:rPr>
                <w:rFonts w:hint="default" w:eastAsia="方正书宋_GBK"/>
                <w:lang w:val="en-US" w:eastAsia="zh-CN"/>
              </w:rPr>
            </w:pPr>
            <w:r>
              <w:rPr>
                <w:rFonts w:hint="eastAsia"/>
                <w:lang w:val="en-US" w:eastAsia="zh-CN"/>
              </w:rPr>
              <w:t>16.53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rPr>
                <w:rFonts w:hint="default" w:eastAsia="方正书宋_GBK"/>
                <w:lang w:val="en-US" w:eastAsia="zh-CN"/>
              </w:rPr>
            </w:pPr>
            <w:r>
              <w:rPr>
                <w:rFonts w:hint="eastAsia"/>
                <w:lang w:val="en-US" w:eastAsia="zh-CN"/>
              </w:rPr>
              <w:t>18.9</w:t>
            </w:r>
          </w:p>
        </w:tc>
        <w:tc>
          <w:tcPr>
            <w:tcW w:w="1134" w:type="dxa"/>
            <w:vAlign w:val="center"/>
          </w:tcPr>
          <w:p>
            <w:pPr>
              <w:pStyle w:val="15"/>
              <w:rPr>
                <w:rFonts w:hint="default" w:eastAsia="方正书宋_GBK"/>
                <w:lang w:val="en-US" w:eastAsia="zh-CN"/>
              </w:rPr>
            </w:pPr>
            <w:r>
              <w:rPr>
                <w:rFonts w:hint="eastAsia"/>
                <w:lang w:val="en-US" w:eastAsia="zh-CN"/>
              </w:rPr>
              <w:t>18.9</w:t>
            </w:r>
          </w:p>
        </w:tc>
        <w:tc>
          <w:tcPr>
            <w:tcW w:w="1134" w:type="dxa"/>
            <w:vAlign w:val="center"/>
          </w:tcPr>
          <w:p>
            <w:pPr>
              <w:pStyle w:val="15"/>
              <w:rPr>
                <w:rFonts w:hint="default" w:eastAsia="方正书宋_GBK"/>
                <w:lang w:val="en-US" w:eastAsia="zh-CN"/>
              </w:rPr>
            </w:pPr>
            <w:r>
              <w:rPr>
                <w:rFonts w:hint="eastAsia"/>
                <w:lang w:val="en-US" w:eastAsia="zh-CN"/>
              </w:rPr>
              <w:t>18.9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rFonts w:hint="default" w:eastAsia="方正书宋_GBK"/>
                <w:lang w:val="en-US" w:eastAsia="zh-CN"/>
              </w:rPr>
            </w:pPr>
            <w:r>
              <w:rPr>
                <w:rFonts w:hint="eastAsia"/>
                <w:lang w:val="en-US" w:eastAsia="zh-CN"/>
              </w:rPr>
              <w:t>44.19</w:t>
            </w:r>
          </w:p>
        </w:tc>
        <w:tc>
          <w:tcPr>
            <w:tcW w:w="1134" w:type="dxa"/>
            <w:vAlign w:val="center"/>
          </w:tcPr>
          <w:p>
            <w:pPr>
              <w:pStyle w:val="15"/>
            </w:pPr>
            <w:r>
              <w:rPr>
                <w:rFonts w:hint="eastAsia"/>
                <w:lang w:val="en-US" w:eastAsia="zh-CN"/>
              </w:rPr>
              <w:t>44.19</w:t>
            </w:r>
          </w:p>
        </w:tc>
        <w:tc>
          <w:tcPr>
            <w:tcW w:w="1134" w:type="dxa"/>
            <w:vAlign w:val="center"/>
          </w:tcPr>
          <w:p>
            <w:pPr>
              <w:pStyle w:val="15"/>
            </w:pPr>
            <w:r>
              <w:rPr>
                <w:rFonts w:hint="eastAsia"/>
                <w:lang w:val="en-US" w:eastAsia="zh-CN"/>
              </w:rPr>
              <w:t>44.19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ind w:firstLine="0" w:firstLineChars="0"/>
            </w:pPr>
            <w:r>
              <w:rPr>
                <w:rFonts w:hint="eastAsia"/>
                <w:lang w:val="en-US" w:eastAsia="zh-CN"/>
              </w:rPr>
              <w:t>44.19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969"/>
        <w:gridCol w:w="4408"/>
        <w:gridCol w:w="1327"/>
        <w:gridCol w:w="1327"/>
        <w:gridCol w:w="1327"/>
        <w:gridCol w:w="1328"/>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08"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654"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311"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vMerge w:val="restart"/>
            <w:vAlign w:val="center"/>
          </w:tcPr>
          <w:p>
            <w:pPr>
              <w:pStyle w:val="14"/>
            </w:pPr>
            <w:r>
              <w:t>序号</w:t>
            </w:r>
          </w:p>
        </w:tc>
        <w:tc>
          <w:tcPr>
            <w:tcW w:w="5377" w:type="dxa"/>
            <w:gridSpan w:val="2"/>
            <w:vAlign w:val="center"/>
          </w:tcPr>
          <w:p>
            <w:pPr>
              <w:pStyle w:val="14"/>
            </w:pPr>
            <w:r>
              <w:t>功能分类科目</w:t>
            </w:r>
          </w:p>
        </w:tc>
        <w:tc>
          <w:tcPr>
            <w:tcW w:w="1327" w:type="dxa"/>
            <w:vMerge w:val="restart"/>
            <w:vAlign w:val="center"/>
          </w:tcPr>
          <w:p>
            <w:pPr>
              <w:pStyle w:val="14"/>
            </w:pPr>
            <w:r>
              <w:t>合计</w:t>
            </w:r>
          </w:p>
        </w:tc>
        <w:tc>
          <w:tcPr>
            <w:tcW w:w="1327" w:type="dxa"/>
            <w:vMerge w:val="restart"/>
            <w:vAlign w:val="center"/>
          </w:tcPr>
          <w:p>
            <w:pPr>
              <w:pStyle w:val="14"/>
            </w:pPr>
            <w:r>
              <w:t>基本支出</w:t>
            </w:r>
          </w:p>
        </w:tc>
        <w:tc>
          <w:tcPr>
            <w:tcW w:w="1327" w:type="dxa"/>
            <w:vMerge w:val="restart"/>
            <w:vAlign w:val="center"/>
          </w:tcPr>
          <w:p>
            <w:pPr>
              <w:pStyle w:val="14"/>
            </w:pPr>
            <w:r>
              <w:t>项目支出</w:t>
            </w:r>
          </w:p>
        </w:tc>
        <w:tc>
          <w:tcPr>
            <w:tcW w:w="1328" w:type="dxa"/>
            <w:vMerge w:val="restart"/>
            <w:vAlign w:val="center"/>
          </w:tcPr>
          <w:p>
            <w:pPr>
              <w:pStyle w:val="14"/>
            </w:pPr>
            <w:r>
              <w:t>经营支出</w:t>
            </w:r>
          </w:p>
        </w:tc>
        <w:tc>
          <w:tcPr>
            <w:tcW w:w="1328" w:type="dxa"/>
            <w:vMerge w:val="restart"/>
            <w:vAlign w:val="center"/>
          </w:tcPr>
          <w:p>
            <w:pPr>
              <w:pStyle w:val="14"/>
            </w:pPr>
            <w:r>
              <w:t>上解上级     支出</w:t>
            </w:r>
          </w:p>
        </w:tc>
        <w:tc>
          <w:tcPr>
            <w:tcW w:w="1328"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vMerge w:val="continue"/>
          </w:tcPr>
          <w:p/>
        </w:tc>
        <w:tc>
          <w:tcPr>
            <w:tcW w:w="969" w:type="dxa"/>
            <w:vAlign w:val="center"/>
          </w:tcPr>
          <w:p>
            <w:pPr>
              <w:pStyle w:val="14"/>
            </w:pPr>
            <w:r>
              <w:t>科目    编码</w:t>
            </w:r>
          </w:p>
        </w:tc>
        <w:tc>
          <w:tcPr>
            <w:tcW w:w="4408" w:type="dxa"/>
            <w:vAlign w:val="center"/>
          </w:tcPr>
          <w:p>
            <w:pPr>
              <w:pStyle w:val="14"/>
            </w:pPr>
            <w:r>
              <w:t>科目名称</w:t>
            </w:r>
          </w:p>
        </w:tc>
        <w:tc>
          <w:tcPr>
            <w:tcW w:w="1327" w:type="dxa"/>
            <w:vMerge w:val="continue"/>
          </w:tcPr>
          <w:p/>
        </w:tc>
        <w:tc>
          <w:tcPr>
            <w:tcW w:w="1327" w:type="dxa"/>
            <w:vMerge w:val="continue"/>
          </w:tcPr>
          <w:p/>
        </w:tc>
        <w:tc>
          <w:tcPr>
            <w:tcW w:w="1327" w:type="dxa"/>
            <w:vMerge w:val="continue"/>
          </w:tcPr>
          <w:p/>
        </w:tc>
        <w:tc>
          <w:tcPr>
            <w:tcW w:w="1328" w:type="dxa"/>
            <w:vMerge w:val="continue"/>
          </w:tcPr>
          <w:p/>
        </w:tc>
        <w:tc>
          <w:tcPr>
            <w:tcW w:w="1328" w:type="dxa"/>
            <w:vMerge w:val="continue"/>
          </w:tcPr>
          <w:p/>
        </w:tc>
        <w:tc>
          <w:tcPr>
            <w:tcW w:w="13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vAlign w:val="center"/>
          </w:tcPr>
          <w:p>
            <w:pPr>
              <w:pStyle w:val="14"/>
            </w:pPr>
            <w:r>
              <w:t>栏次</w:t>
            </w:r>
          </w:p>
        </w:tc>
        <w:tc>
          <w:tcPr>
            <w:tcW w:w="969" w:type="dxa"/>
            <w:vAlign w:val="center"/>
          </w:tcPr>
          <w:p>
            <w:pPr>
              <w:pStyle w:val="14"/>
            </w:pPr>
            <w:r>
              <w:t>1</w:t>
            </w:r>
          </w:p>
        </w:tc>
        <w:tc>
          <w:tcPr>
            <w:tcW w:w="4408" w:type="dxa"/>
            <w:vAlign w:val="center"/>
          </w:tcPr>
          <w:p>
            <w:pPr>
              <w:pStyle w:val="14"/>
            </w:pPr>
            <w:r>
              <w:t>2</w:t>
            </w:r>
          </w:p>
        </w:tc>
        <w:tc>
          <w:tcPr>
            <w:tcW w:w="1327" w:type="dxa"/>
            <w:vAlign w:val="center"/>
          </w:tcPr>
          <w:p>
            <w:pPr>
              <w:pStyle w:val="14"/>
            </w:pPr>
            <w:r>
              <w:t>3</w:t>
            </w:r>
          </w:p>
        </w:tc>
        <w:tc>
          <w:tcPr>
            <w:tcW w:w="1327" w:type="dxa"/>
            <w:vAlign w:val="center"/>
          </w:tcPr>
          <w:p>
            <w:pPr>
              <w:pStyle w:val="14"/>
            </w:pPr>
            <w:r>
              <w:t>4</w:t>
            </w:r>
          </w:p>
        </w:tc>
        <w:tc>
          <w:tcPr>
            <w:tcW w:w="1327" w:type="dxa"/>
            <w:vAlign w:val="center"/>
          </w:tcPr>
          <w:p>
            <w:pPr>
              <w:pStyle w:val="14"/>
            </w:pPr>
            <w:r>
              <w:t>5</w:t>
            </w:r>
          </w:p>
        </w:tc>
        <w:tc>
          <w:tcPr>
            <w:tcW w:w="1328" w:type="dxa"/>
            <w:vAlign w:val="center"/>
          </w:tcPr>
          <w:p>
            <w:pPr>
              <w:pStyle w:val="14"/>
            </w:pPr>
            <w:r>
              <w:t>6</w:t>
            </w:r>
          </w:p>
        </w:tc>
        <w:tc>
          <w:tcPr>
            <w:tcW w:w="1328" w:type="dxa"/>
            <w:vAlign w:val="center"/>
          </w:tcPr>
          <w:p>
            <w:pPr>
              <w:pStyle w:val="14"/>
            </w:pPr>
            <w:r>
              <w:t>7</w:t>
            </w:r>
          </w:p>
        </w:tc>
        <w:tc>
          <w:tcPr>
            <w:tcW w:w="1328"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w:t>
            </w:r>
          </w:p>
        </w:tc>
        <w:tc>
          <w:tcPr>
            <w:tcW w:w="969" w:type="dxa"/>
            <w:vAlign w:val="center"/>
          </w:tcPr>
          <w:p>
            <w:pPr>
              <w:pStyle w:val="20"/>
            </w:pPr>
          </w:p>
        </w:tc>
        <w:tc>
          <w:tcPr>
            <w:tcW w:w="4408" w:type="dxa"/>
            <w:vAlign w:val="center"/>
          </w:tcPr>
          <w:p>
            <w:pPr>
              <w:pStyle w:val="18"/>
            </w:pPr>
            <w:r>
              <w:t>合计</w:t>
            </w:r>
          </w:p>
        </w:tc>
        <w:tc>
          <w:tcPr>
            <w:tcW w:w="1327" w:type="dxa"/>
            <w:vAlign w:val="center"/>
          </w:tcPr>
          <w:p>
            <w:pPr>
              <w:pStyle w:val="19"/>
              <w:rPr>
                <w:rFonts w:hint="default" w:eastAsia="方正书宋_GBK"/>
                <w:lang w:val="en-US" w:eastAsia="zh-CN"/>
              </w:rPr>
            </w:pPr>
            <w:r>
              <w:rPr>
                <w:rFonts w:hint="eastAsia"/>
                <w:lang w:val="en-US" w:eastAsia="zh-CN"/>
              </w:rPr>
              <w:t>667.57</w:t>
            </w:r>
          </w:p>
        </w:tc>
        <w:tc>
          <w:tcPr>
            <w:tcW w:w="1327" w:type="dxa"/>
            <w:vAlign w:val="center"/>
          </w:tcPr>
          <w:p>
            <w:pPr>
              <w:pStyle w:val="19"/>
              <w:rPr>
                <w:rFonts w:hint="default" w:eastAsia="方正书宋_GBK"/>
                <w:lang w:val="en-US" w:eastAsia="zh-CN"/>
              </w:rPr>
            </w:pPr>
            <w:r>
              <w:rPr>
                <w:rFonts w:hint="eastAsia"/>
                <w:lang w:val="en-US" w:eastAsia="zh-CN"/>
              </w:rPr>
              <w:t>608.37</w:t>
            </w:r>
          </w:p>
        </w:tc>
        <w:tc>
          <w:tcPr>
            <w:tcW w:w="1327" w:type="dxa"/>
            <w:vAlign w:val="center"/>
          </w:tcPr>
          <w:p>
            <w:pPr>
              <w:pStyle w:val="19"/>
              <w:rPr>
                <w:rFonts w:hint="default" w:eastAsia="方正书宋_GBK"/>
                <w:lang w:val="en-US" w:eastAsia="zh-CN"/>
              </w:rPr>
            </w:pPr>
            <w:r>
              <w:rPr>
                <w:rFonts w:hint="eastAsia"/>
                <w:lang w:val="en-US" w:eastAsia="zh-CN"/>
              </w:rPr>
              <w:t>59.2</w:t>
            </w:r>
          </w:p>
        </w:tc>
        <w:tc>
          <w:tcPr>
            <w:tcW w:w="1328" w:type="dxa"/>
            <w:vAlign w:val="center"/>
          </w:tcPr>
          <w:p>
            <w:pPr>
              <w:pStyle w:val="19"/>
            </w:pPr>
          </w:p>
        </w:tc>
        <w:tc>
          <w:tcPr>
            <w:tcW w:w="1328" w:type="dxa"/>
            <w:vAlign w:val="center"/>
          </w:tcPr>
          <w:p>
            <w:pPr>
              <w:pStyle w:val="19"/>
            </w:pPr>
          </w:p>
        </w:tc>
        <w:tc>
          <w:tcPr>
            <w:tcW w:w="132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2</w:t>
            </w:r>
          </w:p>
        </w:tc>
        <w:tc>
          <w:tcPr>
            <w:tcW w:w="969" w:type="dxa"/>
            <w:vAlign w:val="center"/>
          </w:tcPr>
          <w:p>
            <w:pPr>
              <w:pStyle w:val="16"/>
            </w:pPr>
            <w:r>
              <w:t>201</w:t>
            </w:r>
          </w:p>
        </w:tc>
        <w:tc>
          <w:tcPr>
            <w:tcW w:w="4408" w:type="dxa"/>
            <w:vAlign w:val="center"/>
          </w:tcPr>
          <w:p>
            <w:pPr>
              <w:pStyle w:val="16"/>
            </w:pPr>
            <w:r>
              <w:t>一般公共服务支出</w:t>
            </w:r>
          </w:p>
        </w:tc>
        <w:tc>
          <w:tcPr>
            <w:tcW w:w="1327" w:type="dxa"/>
            <w:vAlign w:val="center"/>
          </w:tcPr>
          <w:p>
            <w:pPr>
              <w:pStyle w:val="15"/>
              <w:rPr>
                <w:rFonts w:hint="default" w:eastAsia="方正书宋_GBK"/>
                <w:lang w:val="en-US" w:eastAsia="zh-CN"/>
              </w:rPr>
            </w:pPr>
            <w:r>
              <w:rPr>
                <w:rFonts w:hint="eastAsia"/>
                <w:lang w:val="en-US" w:eastAsia="zh-CN"/>
              </w:rPr>
              <w:t>519.67</w:t>
            </w:r>
          </w:p>
        </w:tc>
        <w:tc>
          <w:tcPr>
            <w:tcW w:w="1327" w:type="dxa"/>
            <w:vAlign w:val="center"/>
          </w:tcPr>
          <w:p>
            <w:pPr>
              <w:pStyle w:val="15"/>
              <w:rPr>
                <w:rFonts w:hint="default" w:eastAsia="方正书宋_GBK"/>
                <w:lang w:val="en-US" w:eastAsia="zh-CN"/>
              </w:rPr>
            </w:pPr>
            <w:r>
              <w:rPr>
                <w:rFonts w:hint="eastAsia"/>
                <w:lang w:val="en-US" w:eastAsia="zh-CN"/>
              </w:rPr>
              <w:t>460.47</w:t>
            </w:r>
          </w:p>
        </w:tc>
        <w:tc>
          <w:tcPr>
            <w:tcW w:w="1327" w:type="dxa"/>
            <w:vAlign w:val="center"/>
          </w:tcPr>
          <w:p>
            <w:pPr>
              <w:pStyle w:val="15"/>
              <w:rPr>
                <w:rFonts w:hint="default" w:eastAsia="方正书宋_GBK"/>
                <w:lang w:val="en-US" w:eastAsia="zh-CN"/>
              </w:rPr>
            </w:pPr>
            <w:r>
              <w:rPr>
                <w:rFonts w:hint="eastAsia"/>
                <w:lang w:val="en-US" w:eastAsia="zh-CN"/>
              </w:rPr>
              <w:t>59.2</w:t>
            </w: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3</w:t>
            </w:r>
          </w:p>
        </w:tc>
        <w:tc>
          <w:tcPr>
            <w:tcW w:w="969" w:type="dxa"/>
            <w:vAlign w:val="center"/>
          </w:tcPr>
          <w:p>
            <w:pPr>
              <w:pStyle w:val="16"/>
            </w:pPr>
            <w:r>
              <w:t>20129</w:t>
            </w:r>
          </w:p>
        </w:tc>
        <w:tc>
          <w:tcPr>
            <w:tcW w:w="4408" w:type="dxa"/>
            <w:vAlign w:val="center"/>
          </w:tcPr>
          <w:p>
            <w:pPr>
              <w:pStyle w:val="16"/>
            </w:pPr>
            <w:r>
              <w:t>群众团体事务</w:t>
            </w:r>
          </w:p>
        </w:tc>
        <w:tc>
          <w:tcPr>
            <w:tcW w:w="1327" w:type="dxa"/>
            <w:vAlign w:val="center"/>
          </w:tcPr>
          <w:p>
            <w:pPr>
              <w:pStyle w:val="15"/>
              <w:jc w:val="center"/>
              <w:rPr>
                <w:rFonts w:hint="default" w:eastAsia="方正书宋_GBK"/>
                <w:lang w:val="en-US" w:eastAsia="zh-CN"/>
              </w:rPr>
            </w:pPr>
            <w:r>
              <w:rPr>
                <w:rFonts w:hint="eastAsia"/>
                <w:lang w:val="en-US" w:eastAsia="zh-CN"/>
              </w:rPr>
              <w:t xml:space="preserve">          519.67</w:t>
            </w:r>
          </w:p>
        </w:tc>
        <w:tc>
          <w:tcPr>
            <w:tcW w:w="1327" w:type="dxa"/>
            <w:vAlign w:val="center"/>
          </w:tcPr>
          <w:p>
            <w:pPr>
              <w:pStyle w:val="15"/>
              <w:ind w:firstLine="0" w:firstLineChars="0"/>
            </w:pPr>
            <w:r>
              <w:rPr>
                <w:rFonts w:hint="eastAsia"/>
                <w:lang w:val="en-US" w:eastAsia="zh-CN"/>
              </w:rPr>
              <w:t>460.47</w:t>
            </w:r>
          </w:p>
        </w:tc>
        <w:tc>
          <w:tcPr>
            <w:tcW w:w="1327" w:type="dxa"/>
            <w:vAlign w:val="center"/>
          </w:tcPr>
          <w:p>
            <w:pPr>
              <w:pStyle w:val="15"/>
              <w:ind w:firstLine="0" w:firstLineChars="0"/>
              <w:rPr>
                <w:rFonts w:hint="default"/>
                <w:lang w:val="en-US"/>
              </w:rPr>
            </w:pPr>
            <w:r>
              <w:rPr>
                <w:rFonts w:hint="eastAsia"/>
                <w:lang w:val="en-US" w:eastAsia="zh-CN"/>
              </w:rPr>
              <w:t>59.2</w:t>
            </w: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4</w:t>
            </w:r>
          </w:p>
        </w:tc>
        <w:tc>
          <w:tcPr>
            <w:tcW w:w="969" w:type="dxa"/>
            <w:vAlign w:val="center"/>
          </w:tcPr>
          <w:p>
            <w:pPr>
              <w:pStyle w:val="16"/>
            </w:pPr>
            <w:r>
              <w:t>2012901</w:t>
            </w:r>
          </w:p>
        </w:tc>
        <w:tc>
          <w:tcPr>
            <w:tcW w:w="4408" w:type="dxa"/>
            <w:vAlign w:val="center"/>
          </w:tcPr>
          <w:p>
            <w:pPr>
              <w:pStyle w:val="16"/>
            </w:pPr>
            <w:r>
              <w:t>行政运行</w:t>
            </w:r>
          </w:p>
        </w:tc>
        <w:tc>
          <w:tcPr>
            <w:tcW w:w="1327" w:type="dxa"/>
            <w:vAlign w:val="center"/>
          </w:tcPr>
          <w:p>
            <w:pPr>
              <w:pStyle w:val="15"/>
              <w:rPr>
                <w:rFonts w:hint="default" w:eastAsia="方正书宋_GBK"/>
                <w:lang w:val="en-US" w:eastAsia="zh-CN"/>
              </w:rPr>
            </w:pPr>
            <w:r>
              <w:rPr>
                <w:rFonts w:hint="eastAsia"/>
                <w:lang w:val="en-US" w:eastAsia="zh-CN"/>
              </w:rPr>
              <w:t>237.74</w:t>
            </w:r>
          </w:p>
        </w:tc>
        <w:tc>
          <w:tcPr>
            <w:tcW w:w="1327" w:type="dxa"/>
            <w:vAlign w:val="center"/>
          </w:tcPr>
          <w:p>
            <w:pPr>
              <w:pStyle w:val="15"/>
              <w:rPr>
                <w:rFonts w:hint="default" w:eastAsia="方正书宋_GBK"/>
                <w:lang w:val="en-US" w:eastAsia="zh-CN"/>
              </w:rPr>
            </w:pPr>
            <w:r>
              <w:rPr>
                <w:rFonts w:hint="eastAsia"/>
                <w:lang w:val="en-US" w:eastAsia="zh-CN"/>
              </w:rPr>
              <w:t>237.74</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5</w:t>
            </w:r>
          </w:p>
        </w:tc>
        <w:tc>
          <w:tcPr>
            <w:tcW w:w="969" w:type="dxa"/>
            <w:vAlign w:val="center"/>
          </w:tcPr>
          <w:p>
            <w:pPr>
              <w:pStyle w:val="16"/>
            </w:pPr>
            <w:r>
              <w:t>2012902</w:t>
            </w:r>
          </w:p>
        </w:tc>
        <w:tc>
          <w:tcPr>
            <w:tcW w:w="4408" w:type="dxa"/>
            <w:vAlign w:val="center"/>
          </w:tcPr>
          <w:p>
            <w:pPr>
              <w:pStyle w:val="16"/>
            </w:pPr>
            <w:r>
              <w:t>一般行政管理事务</w:t>
            </w:r>
          </w:p>
        </w:tc>
        <w:tc>
          <w:tcPr>
            <w:tcW w:w="1327" w:type="dxa"/>
            <w:vAlign w:val="center"/>
          </w:tcPr>
          <w:p>
            <w:pPr>
              <w:pStyle w:val="15"/>
              <w:rPr>
                <w:rFonts w:hint="default" w:eastAsia="方正书宋_GBK"/>
                <w:lang w:val="en-US" w:eastAsia="zh-CN"/>
              </w:rPr>
            </w:pPr>
            <w:r>
              <w:rPr>
                <w:rFonts w:hint="eastAsia"/>
                <w:lang w:val="en-US" w:eastAsia="zh-CN"/>
              </w:rPr>
              <w:t>59.2</w:t>
            </w:r>
          </w:p>
        </w:tc>
        <w:tc>
          <w:tcPr>
            <w:tcW w:w="1327" w:type="dxa"/>
            <w:vAlign w:val="center"/>
          </w:tcPr>
          <w:p>
            <w:pPr>
              <w:pStyle w:val="15"/>
            </w:pPr>
          </w:p>
        </w:tc>
        <w:tc>
          <w:tcPr>
            <w:tcW w:w="1327" w:type="dxa"/>
            <w:vAlign w:val="center"/>
          </w:tcPr>
          <w:p>
            <w:pPr>
              <w:pStyle w:val="15"/>
              <w:rPr>
                <w:rFonts w:hint="default"/>
                <w:lang w:val="en-US"/>
              </w:rPr>
            </w:pPr>
            <w:r>
              <w:rPr>
                <w:rFonts w:hint="eastAsia"/>
                <w:lang w:val="en-US" w:eastAsia="zh-CN"/>
              </w:rPr>
              <w:t>59.2</w:t>
            </w: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6</w:t>
            </w:r>
          </w:p>
        </w:tc>
        <w:tc>
          <w:tcPr>
            <w:tcW w:w="969" w:type="dxa"/>
            <w:vAlign w:val="center"/>
          </w:tcPr>
          <w:p>
            <w:pPr>
              <w:pStyle w:val="16"/>
            </w:pPr>
            <w:r>
              <w:t>2012950</w:t>
            </w:r>
          </w:p>
        </w:tc>
        <w:tc>
          <w:tcPr>
            <w:tcW w:w="4408" w:type="dxa"/>
            <w:vAlign w:val="center"/>
          </w:tcPr>
          <w:p>
            <w:pPr>
              <w:pStyle w:val="16"/>
            </w:pPr>
            <w:r>
              <w:t>事业运行</w:t>
            </w:r>
          </w:p>
        </w:tc>
        <w:tc>
          <w:tcPr>
            <w:tcW w:w="1327" w:type="dxa"/>
            <w:vAlign w:val="center"/>
          </w:tcPr>
          <w:p>
            <w:pPr>
              <w:pStyle w:val="15"/>
              <w:rPr>
                <w:rFonts w:hint="default" w:eastAsia="方正书宋_GBK"/>
                <w:lang w:val="en-US" w:eastAsia="zh-CN"/>
              </w:rPr>
            </w:pPr>
            <w:r>
              <w:rPr>
                <w:rFonts w:hint="eastAsia"/>
                <w:lang w:val="en-US" w:eastAsia="zh-CN"/>
              </w:rPr>
              <w:t>222.73</w:t>
            </w:r>
          </w:p>
        </w:tc>
        <w:tc>
          <w:tcPr>
            <w:tcW w:w="1327" w:type="dxa"/>
            <w:vAlign w:val="center"/>
          </w:tcPr>
          <w:p>
            <w:pPr>
              <w:pStyle w:val="15"/>
              <w:ind w:firstLine="0" w:firstLineChars="0"/>
            </w:pPr>
            <w:r>
              <w:rPr>
                <w:rFonts w:hint="eastAsia"/>
                <w:lang w:val="en-US" w:eastAsia="zh-CN"/>
              </w:rPr>
              <w:t>222.73</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7</w:t>
            </w:r>
          </w:p>
        </w:tc>
        <w:tc>
          <w:tcPr>
            <w:tcW w:w="969" w:type="dxa"/>
            <w:vAlign w:val="center"/>
          </w:tcPr>
          <w:p>
            <w:pPr>
              <w:pStyle w:val="16"/>
            </w:pPr>
            <w:r>
              <w:t>208</w:t>
            </w:r>
          </w:p>
        </w:tc>
        <w:tc>
          <w:tcPr>
            <w:tcW w:w="4408" w:type="dxa"/>
            <w:vAlign w:val="center"/>
          </w:tcPr>
          <w:p>
            <w:pPr>
              <w:pStyle w:val="16"/>
            </w:pPr>
            <w:r>
              <w:t>社会保障和就业支出</w:t>
            </w:r>
          </w:p>
        </w:tc>
        <w:tc>
          <w:tcPr>
            <w:tcW w:w="1327" w:type="dxa"/>
            <w:vAlign w:val="center"/>
          </w:tcPr>
          <w:p>
            <w:pPr>
              <w:pStyle w:val="15"/>
              <w:rPr>
                <w:rFonts w:hint="default" w:eastAsia="方正书宋_GBK"/>
                <w:lang w:val="en-US" w:eastAsia="zh-CN"/>
              </w:rPr>
            </w:pPr>
            <w:r>
              <w:rPr>
                <w:rFonts w:hint="eastAsia"/>
                <w:lang w:val="en-US" w:eastAsia="zh-CN"/>
              </w:rPr>
              <w:t>68.28</w:t>
            </w:r>
          </w:p>
        </w:tc>
        <w:tc>
          <w:tcPr>
            <w:tcW w:w="1327" w:type="dxa"/>
            <w:vAlign w:val="center"/>
          </w:tcPr>
          <w:p>
            <w:pPr>
              <w:pStyle w:val="15"/>
              <w:ind w:firstLine="0" w:firstLineChars="0"/>
            </w:pPr>
            <w:r>
              <w:rPr>
                <w:rFonts w:hint="eastAsia"/>
                <w:lang w:val="en-US" w:eastAsia="zh-CN"/>
              </w:rPr>
              <w:t>68.28</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8</w:t>
            </w:r>
          </w:p>
        </w:tc>
        <w:tc>
          <w:tcPr>
            <w:tcW w:w="969" w:type="dxa"/>
            <w:vAlign w:val="center"/>
          </w:tcPr>
          <w:p>
            <w:pPr>
              <w:pStyle w:val="16"/>
            </w:pPr>
            <w:r>
              <w:t>20805</w:t>
            </w:r>
          </w:p>
        </w:tc>
        <w:tc>
          <w:tcPr>
            <w:tcW w:w="4408" w:type="dxa"/>
            <w:vAlign w:val="center"/>
          </w:tcPr>
          <w:p>
            <w:pPr>
              <w:pStyle w:val="16"/>
            </w:pPr>
            <w:r>
              <w:t>行政事业单位养老支出</w:t>
            </w:r>
          </w:p>
        </w:tc>
        <w:tc>
          <w:tcPr>
            <w:tcW w:w="1327" w:type="dxa"/>
            <w:vAlign w:val="center"/>
          </w:tcPr>
          <w:p>
            <w:pPr>
              <w:pStyle w:val="15"/>
              <w:rPr>
                <w:rFonts w:hint="default" w:eastAsia="方正书宋_GBK"/>
                <w:lang w:val="en-US" w:eastAsia="zh-CN"/>
              </w:rPr>
            </w:pPr>
            <w:r>
              <w:rPr>
                <w:rFonts w:hint="eastAsia"/>
                <w:lang w:val="en-US" w:eastAsia="zh-CN"/>
              </w:rPr>
              <w:t>68.28</w:t>
            </w:r>
          </w:p>
        </w:tc>
        <w:tc>
          <w:tcPr>
            <w:tcW w:w="1327" w:type="dxa"/>
            <w:vAlign w:val="center"/>
          </w:tcPr>
          <w:p>
            <w:pPr>
              <w:pStyle w:val="15"/>
              <w:ind w:firstLine="0" w:firstLineChars="0"/>
            </w:pPr>
            <w:r>
              <w:rPr>
                <w:rFonts w:hint="eastAsia"/>
                <w:lang w:val="en-US" w:eastAsia="zh-CN"/>
              </w:rPr>
              <w:t>68.28</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9</w:t>
            </w:r>
          </w:p>
        </w:tc>
        <w:tc>
          <w:tcPr>
            <w:tcW w:w="969" w:type="dxa"/>
            <w:vAlign w:val="center"/>
          </w:tcPr>
          <w:p>
            <w:pPr>
              <w:pStyle w:val="16"/>
            </w:pPr>
            <w:r>
              <w:t>2080501</w:t>
            </w:r>
          </w:p>
        </w:tc>
        <w:tc>
          <w:tcPr>
            <w:tcW w:w="4408" w:type="dxa"/>
            <w:vAlign w:val="center"/>
          </w:tcPr>
          <w:p>
            <w:pPr>
              <w:pStyle w:val="16"/>
            </w:pPr>
            <w:r>
              <w:t>行政单位离退休</w:t>
            </w:r>
          </w:p>
        </w:tc>
        <w:tc>
          <w:tcPr>
            <w:tcW w:w="1327" w:type="dxa"/>
            <w:vAlign w:val="center"/>
          </w:tcPr>
          <w:p>
            <w:pPr>
              <w:pStyle w:val="15"/>
              <w:rPr>
                <w:rFonts w:hint="default" w:eastAsia="方正书宋_GBK"/>
                <w:lang w:val="en-US" w:eastAsia="zh-CN"/>
              </w:rPr>
            </w:pPr>
            <w:r>
              <w:rPr>
                <w:rFonts w:hint="eastAsia"/>
                <w:lang w:val="en-US" w:eastAsia="zh-CN"/>
              </w:rPr>
              <w:t>9.37</w:t>
            </w:r>
          </w:p>
        </w:tc>
        <w:tc>
          <w:tcPr>
            <w:tcW w:w="1327" w:type="dxa"/>
            <w:vAlign w:val="center"/>
          </w:tcPr>
          <w:p>
            <w:pPr>
              <w:pStyle w:val="15"/>
              <w:ind w:firstLine="0" w:firstLineChars="0"/>
            </w:pPr>
            <w:r>
              <w:rPr>
                <w:rFonts w:hint="eastAsia"/>
                <w:lang w:val="en-US" w:eastAsia="zh-CN"/>
              </w:rPr>
              <w:t>9.37</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10</w:t>
            </w:r>
          </w:p>
        </w:tc>
        <w:tc>
          <w:tcPr>
            <w:tcW w:w="969" w:type="dxa"/>
            <w:vAlign w:val="center"/>
          </w:tcPr>
          <w:p>
            <w:pPr>
              <w:pStyle w:val="16"/>
            </w:pPr>
            <w:r>
              <w:t>2080505</w:t>
            </w:r>
          </w:p>
        </w:tc>
        <w:tc>
          <w:tcPr>
            <w:tcW w:w="4408" w:type="dxa"/>
            <w:vAlign w:val="center"/>
          </w:tcPr>
          <w:p>
            <w:pPr>
              <w:pStyle w:val="16"/>
            </w:pPr>
            <w:r>
              <w:t>机关事业单位基本养老保险缴费支出</w:t>
            </w:r>
          </w:p>
        </w:tc>
        <w:tc>
          <w:tcPr>
            <w:tcW w:w="1327" w:type="dxa"/>
            <w:vAlign w:val="center"/>
          </w:tcPr>
          <w:p>
            <w:pPr>
              <w:pStyle w:val="15"/>
              <w:rPr>
                <w:rFonts w:hint="default" w:eastAsia="方正书宋_GBK"/>
                <w:lang w:val="en-US" w:eastAsia="zh-CN"/>
              </w:rPr>
            </w:pPr>
            <w:r>
              <w:rPr>
                <w:rFonts w:hint="eastAsia"/>
                <w:lang w:val="en-US" w:eastAsia="zh-CN"/>
              </w:rPr>
              <w:t>58.92</w:t>
            </w:r>
          </w:p>
        </w:tc>
        <w:tc>
          <w:tcPr>
            <w:tcW w:w="1327" w:type="dxa"/>
            <w:vAlign w:val="center"/>
          </w:tcPr>
          <w:p>
            <w:pPr>
              <w:pStyle w:val="15"/>
              <w:ind w:firstLine="0" w:firstLineChars="0"/>
            </w:pPr>
            <w:r>
              <w:rPr>
                <w:rFonts w:hint="eastAsia"/>
                <w:lang w:val="en-US" w:eastAsia="zh-CN"/>
              </w:rPr>
              <w:t>58.92</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11</w:t>
            </w:r>
          </w:p>
        </w:tc>
        <w:tc>
          <w:tcPr>
            <w:tcW w:w="969" w:type="dxa"/>
            <w:vAlign w:val="center"/>
          </w:tcPr>
          <w:p>
            <w:pPr>
              <w:pStyle w:val="16"/>
            </w:pPr>
            <w:r>
              <w:t>210</w:t>
            </w:r>
          </w:p>
        </w:tc>
        <w:tc>
          <w:tcPr>
            <w:tcW w:w="4408" w:type="dxa"/>
            <w:vAlign w:val="center"/>
          </w:tcPr>
          <w:p>
            <w:pPr>
              <w:pStyle w:val="16"/>
            </w:pPr>
            <w:r>
              <w:t>卫生健康支出</w:t>
            </w:r>
          </w:p>
        </w:tc>
        <w:tc>
          <w:tcPr>
            <w:tcW w:w="1327" w:type="dxa"/>
            <w:vAlign w:val="center"/>
          </w:tcPr>
          <w:p>
            <w:pPr>
              <w:pStyle w:val="15"/>
              <w:rPr>
                <w:rFonts w:hint="default" w:eastAsia="方正书宋_GBK"/>
                <w:lang w:val="en-US" w:eastAsia="zh-CN"/>
              </w:rPr>
            </w:pPr>
            <w:r>
              <w:rPr>
                <w:rFonts w:hint="eastAsia"/>
                <w:lang w:val="en-US" w:eastAsia="zh-CN"/>
              </w:rPr>
              <w:t>35.43</w:t>
            </w:r>
          </w:p>
        </w:tc>
        <w:tc>
          <w:tcPr>
            <w:tcW w:w="1327" w:type="dxa"/>
            <w:vAlign w:val="center"/>
          </w:tcPr>
          <w:p>
            <w:pPr>
              <w:pStyle w:val="15"/>
              <w:ind w:firstLine="0" w:firstLineChars="0"/>
            </w:pPr>
            <w:r>
              <w:rPr>
                <w:rFonts w:hint="eastAsia"/>
                <w:lang w:val="en-US" w:eastAsia="zh-CN"/>
              </w:rPr>
              <w:t>35.43</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12</w:t>
            </w:r>
          </w:p>
        </w:tc>
        <w:tc>
          <w:tcPr>
            <w:tcW w:w="969" w:type="dxa"/>
            <w:vAlign w:val="center"/>
          </w:tcPr>
          <w:p>
            <w:pPr>
              <w:pStyle w:val="16"/>
            </w:pPr>
            <w:r>
              <w:t>21011</w:t>
            </w:r>
          </w:p>
        </w:tc>
        <w:tc>
          <w:tcPr>
            <w:tcW w:w="4408" w:type="dxa"/>
            <w:vAlign w:val="center"/>
          </w:tcPr>
          <w:p>
            <w:pPr>
              <w:pStyle w:val="16"/>
            </w:pPr>
            <w:r>
              <w:t>行政事业单位医疗</w:t>
            </w:r>
          </w:p>
        </w:tc>
        <w:tc>
          <w:tcPr>
            <w:tcW w:w="1327" w:type="dxa"/>
            <w:vAlign w:val="center"/>
          </w:tcPr>
          <w:p>
            <w:pPr>
              <w:pStyle w:val="15"/>
              <w:rPr>
                <w:rFonts w:hint="default" w:eastAsia="方正书宋_GBK"/>
                <w:lang w:val="en-US" w:eastAsia="zh-CN"/>
              </w:rPr>
            </w:pPr>
            <w:r>
              <w:rPr>
                <w:rFonts w:hint="eastAsia"/>
                <w:lang w:val="en-US" w:eastAsia="zh-CN"/>
              </w:rPr>
              <w:t>35.43</w:t>
            </w:r>
          </w:p>
        </w:tc>
        <w:tc>
          <w:tcPr>
            <w:tcW w:w="1327" w:type="dxa"/>
            <w:vAlign w:val="center"/>
          </w:tcPr>
          <w:p>
            <w:pPr>
              <w:pStyle w:val="15"/>
              <w:ind w:firstLine="0" w:firstLineChars="0"/>
            </w:pPr>
            <w:r>
              <w:rPr>
                <w:rFonts w:hint="eastAsia"/>
                <w:lang w:val="en-US" w:eastAsia="zh-CN"/>
              </w:rPr>
              <w:t>35.43</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13</w:t>
            </w:r>
          </w:p>
        </w:tc>
        <w:tc>
          <w:tcPr>
            <w:tcW w:w="969" w:type="dxa"/>
            <w:vAlign w:val="center"/>
          </w:tcPr>
          <w:p>
            <w:pPr>
              <w:pStyle w:val="16"/>
            </w:pPr>
            <w:r>
              <w:t>2101101</w:t>
            </w:r>
          </w:p>
        </w:tc>
        <w:tc>
          <w:tcPr>
            <w:tcW w:w="4408" w:type="dxa"/>
            <w:vAlign w:val="center"/>
          </w:tcPr>
          <w:p>
            <w:pPr>
              <w:pStyle w:val="16"/>
            </w:pPr>
            <w:r>
              <w:t>行政单位医疗</w:t>
            </w:r>
          </w:p>
        </w:tc>
        <w:tc>
          <w:tcPr>
            <w:tcW w:w="1327" w:type="dxa"/>
            <w:vAlign w:val="center"/>
          </w:tcPr>
          <w:p>
            <w:pPr>
              <w:pStyle w:val="15"/>
              <w:rPr>
                <w:rFonts w:hint="default" w:eastAsia="方正书宋_GBK"/>
                <w:lang w:val="en-US" w:eastAsia="zh-CN"/>
              </w:rPr>
            </w:pPr>
            <w:r>
              <w:rPr>
                <w:rFonts w:hint="eastAsia"/>
                <w:lang w:val="en-US" w:eastAsia="zh-CN"/>
              </w:rPr>
              <w:t>16.53</w:t>
            </w:r>
          </w:p>
        </w:tc>
        <w:tc>
          <w:tcPr>
            <w:tcW w:w="1327" w:type="dxa"/>
            <w:vAlign w:val="center"/>
          </w:tcPr>
          <w:p>
            <w:pPr>
              <w:pStyle w:val="15"/>
              <w:ind w:firstLine="0" w:firstLineChars="0"/>
            </w:pPr>
            <w:r>
              <w:rPr>
                <w:rFonts w:hint="eastAsia"/>
                <w:lang w:val="en-US" w:eastAsia="zh-CN"/>
              </w:rPr>
              <w:t>16.53</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14</w:t>
            </w:r>
          </w:p>
        </w:tc>
        <w:tc>
          <w:tcPr>
            <w:tcW w:w="969" w:type="dxa"/>
            <w:vAlign w:val="center"/>
          </w:tcPr>
          <w:p>
            <w:pPr>
              <w:pStyle w:val="16"/>
            </w:pPr>
            <w:r>
              <w:t>2101102</w:t>
            </w:r>
          </w:p>
        </w:tc>
        <w:tc>
          <w:tcPr>
            <w:tcW w:w="4408" w:type="dxa"/>
            <w:vAlign w:val="center"/>
          </w:tcPr>
          <w:p>
            <w:pPr>
              <w:pStyle w:val="16"/>
            </w:pPr>
            <w:r>
              <w:t>事业单位医疗</w:t>
            </w:r>
          </w:p>
        </w:tc>
        <w:tc>
          <w:tcPr>
            <w:tcW w:w="1327" w:type="dxa"/>
            <w:vAlign w:val="center"/>
          </w:tcPr>
          <w:p>
            <w:pPr>
              <w:pStyle w:val="15"/>
              <w:rPr>
                <w:rFonts w:hint="default" w:eastAsia="方正书宋_GBK"/>
                <w:lang w:val="en-US" w:eastAsia="zh-CN"/>
              </w:rPr>
            </w:pPr>
            <w:r>
              <w:rPr>
                <w:rFonts w:hint="eastAsia"/>
                <w:lang w:val="en-US" w:eastAsia="zh-CN"/>
              </w:rPr>
              <w:t>18.9</w:t>
            </w:r>
          </w:p>
        </w:tc>
        <w:tc>
          <w:tcPr>
            <w:tcW w:w="1327" w:type="dxa"/>
            <w:vAlign w:val="center"/>
          </w:tcPr>
          <w:p>
            <w:pPr>
              <w:pStyle w:val="15"/>
              <w:ind w:firstLine="0" w:firstLineChars="0"/>
            </w:pPr>
            <w:r>
              <w:rPr>
                <w:rFonts w:hint="eastAsia"/>
                <w:lang w:val="en-US" w:eastAsia="zh-CN"/>
              </w:rPr>
              <w:t>18.9</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15</w:t>
            </w:r>
          </w:p>
        </w:tc>
        <w:tc>
          <w:tcPr>
            <w:tcW w:w="969" w:type="dxa"/>
            <w:vAlign w:val="center"/>
          </w:tcPr>
          <w:p>
            <w:pPr>
              <w:pStyle w:val="16"/>
            </w:pPr>
            <w:r>
              <w:t>221</w:t>
            </w:r>
          </w:p>
        </w:tc>
        <w:tc>
          <w:tcPr>
            <w:tcW w:w="4408" w:type="dxa"/>
            <w:vAlign w:val="center"/>
          </w:tcPr>
          <w:p>
            <w:pPr>
              <w:pStyle w:val="16"/>
            </w:pPr>
            <w:r>
              <w:t>住房保障支出</w:t>
            </w:r>
          </w:p>
        </w:tc>
        <w:tc>
          <w:tcPr>
            <w:tcW w:w="1327" w:type="dxa"/>
            <w:vAlign w:val="center"/>
          </w:tcPr>
          <w:p>
            <w:pPr>
              <w:pStyle w:val="15"/>
              <w:rPr>
                <w:rFonts w:hint="default" w:eastAsia="方正书宋_GBK"/>
                <w:lang w:val="en-US" w:eastAsia="zh-CN"/>
              </w:rPr>
            </w:pPr>
            <w:r>
              <w:rPr>
                <w:rFonts w:hint="eastAsia"/>
                <w:lang w:val="en-US" w:eastAsia="zh-CN"/>
              </w:rPr>
              <w:t>44.19</w:t>
            </w:r>
          </w:p>
        </w:tc>
        <w:tc>
          <w:tcPr>
            <w:tcW w:w="1327" w:type="dxa"/>
            <w:vAlign w:val="center"/>
          </w:tcPr>
          <w:p>
            <w:pPr>
              <w:pStyle w:val="15"/>
              <w:ind w:firstLine="0" w:firstLineChars="0"/>
            </w:pPr>
            <w:r>
              <w:rPr>
                <w:rFonts w:hint="eastAsia"/>
                <w:lang w:val="en-US" w:eastAsia="zh-CN"/>
              </w:rPr>
              <w:t>44.19</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16</w:t>
            </w:r>
          </w:p>
        </w:tc>
        <w:tc>
          <w:tcPr>
            <w:tcW w:w="969" w:type="dxa"/>
            <w:vAlign w:val="center"/>
          </w:tcPr>
          <w:p>
            <w:pPr>
              <w:pStyle w:val="16"/>
            </w:pPr>
            <w:r>
              <w:t>22102</w:t>
            </w:r>
          </w:p>
        </w:tc>
        <w:tc>
          <w:tcPr>
            <w:tcW w:w="4408" w:type="dxa"/>
            <w:vAlign w:val="center"/>
          </w:tcPr>
          <w:p>
            <w:pPr>
              <w:pStyle w:val="16"/>
            </w:pPr>
            <w:r>
              <w:t>住房改革支出</w:t>
            </w:r>
          </w:p>
        </w:tc>
        <w:tc>
          <w:tcPr>
            <w:tcW w:w="1327" w:type="dxa"/>
            <w:vAlign w:val="center"/>
          </w:tcPr>
          <w:p>
            <w:pPr>
              <w:pStyle w:val="15"/>
              <w:rPr>
                <w:rFonts w:hint="default" w:eastAsia="方正书宋_GBK"/>
                <w:lang w:val="en-US" w:eastAsia="zh-CN"/>
              </w:rPr>
            </w:pPr>
            <w:r>
              <w:rPr>
                <w:rFonts w:hint="eastAsia"/>
                <w:lang w:val="en-US" w:eastAsia="zh-CN"/>
              </w:rPr>
              <w:t>44.19</w:t>
            </w:r>
          </w:p>
        </w:tc>
        <w:tc>
          <w:tcPr>
            <w:tcW w:w="1327" w:type="dxa"/>
            <w:vAlign w:val="center"/>
          </w:tcPr>
          <w:p>
            <w:pPr>
              <w:pStyle w:val="15"/>
              <w:ind w:firstLine="0" w:firstLineChars="0"/>
            </w:pPr>
            <w:r>
              <w:rPr>
                <w:rFonts w:hint="eastAsia"/>
                <w:lang w:val="en-US" w:eastAsia="zh-CN"/>
              </w:rPr>
              <w:t>44.19</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vAlign w:val="center"/>
          </w:tcPr>
          <w:p>
            <w:pPr>
              <w:pStyle w:val="17"/>
            </w:pPr>
            <w:r>
              <w:t>17</w:t>
            </w:r>
          </w:p>
        </w:tc>
        <w:tc>
          <w:tcPr>
            <w:tcW w:w="969" w:type="dxa"/>
            <w:vAlign w:val="center"/>
          </w:tcPr>
          <w:p>
            <w:pPr>
              <w:pStyle w:val="16"/>
            </w:pPr>
            <w:r>
              <w:t>2210201</w:t>
            </w:r>
          </w:p>
        </w:tc>
        <w:tc>
          <w:tcPr>
            <w:tcW w:w="4408" w:type="dxa"/>
            <w:vAlign w:val="center"/>
          </w:tcPr>
          <w:p>
            <w:pPr>
              <w:pStyle w:val="16"/>
            </w:pPr>
            <w:r>
              <w:t>住房公积金</w:t>
            </w:r>
          </w:p>
        </w:tc>
        <w:tc>
          <w:tcPr>
            <w:tcW w:w="1327" w:type="dxa"/>
            <w:vAlign w:val="center"/>
          </w:tcPr>
          <w:p>
            <w:pPr>
              <w:pStyle w:val="15"/>
              <w:rPr>
                <w:rFonts w:hint="default" w:eastAsia="方正书宋_GBK"/>
                <w:lang w:val="en-US" w:eastAsia="zh-CN"/>
              </w:rPr>
            </w:pPr>
            <w:r>
              <w:rPr>
                <w:rFonts w:hint="eastAsia"/>
                <w:lang w:val="en-US" w:eastAsia="zh-CN"/>
              </w:rPr>
              <w:t>44.19</w:t>
            </w:r>
          </w:p>
        </w:tc>
        <w:tc>
          <w:tcPr>
            <w:tcW w:w="1327" w:type="dxa"/>
            <w:vAlign w:val="center"/>
          </w:tcPr>
          <w:p>
            <w:pPr>
              <w:pStyle w:val="15"/>
              <w:ind w:firstLine="0" w:firstLineChars="0"/>
            </w:pPr>
            <w:r>
              <w:rPr>
                <w:rFonts w:hint="eastAsia"/>
                <w:lang w:val="en-US" w:eastAsia="zh-CN"/>
              </w:rPr>
              <w:t>44.19</w:t>
            </w:r>
          </w:p>
        </w:tc>
        <w:tc>
          <w:tcPr>
            <w:tcW w:w="1327" w:type="dxa"/>
            <w:vAlign w:val="center"/>
          </w:tcPr>
          <w:p>
            <w:pPr>
              <w:pStyle w:val="15"/>
            </w:pPr>
          </w:p>
        </w:tc>
        <w:tc>
          <w:tcPr>
            <w:tcW w:w="1328" w:type="dxa"/>
            <w:vAlign w:val="center"/>
          </w:tcPr>
          <w:p>
            <w:pPr>
              <w:pStyle w:val="15"/>
            </w:pPr>
          </w:p>
        </w:tc>
        <w:tc>
          <w:tcPr>
            <w:tcW w:w="1328" w:type="dxa"/>
            <w:vAlign w:val="center"/>
          </w:tcPr>
          <w:p>
            <w:pPr>
              <w:pStyle w:val="15"/>
            </w:pPr>
          </w:p>
        </w:tc>
        <w:tc>
          <w:tcPr>
            <w:tcW w:w="132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3197"/>
        <w:gridCol w:w="1393"/>
        <w:gridCol w:w="3198"/>
        <w:gridCol w:w="1394"/>
        <w:gridCol w:w="1394"/>
        <w:gridCol w:w="1394"/>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665.27</w:t>
            </w:r>
          </w:p>
        </w:tc>
        <w:tc>
          <w:tcPr>
            <w:tcW w:w="3402" w:type="dxa"/>
            <w:vAlign w:val="center"/>
          </w:tcPr>
          <w:p>
            <w:pPr>
              <w:pStyle w:val="16"/>
            </w:pPr>
            <w:r>
              <w:t>一、一般公共服务支出</w:t>
            </w:r>
          </w:p>
        </w:tc>
        <w:tc>
          <w:tcPr>
            <w:tcW w:w="1474" w:type="dxa"/>
            <w:vAlign w:val="center"/>
          </w:tcPr>
          <w:p>
            <w:pPr>
              <w:pStyle w:val="15"/>
              <w:rPr>
                <w:rFonts w:hint="default" w:eastAsia="方正书宋_GBK"/>
                <w:lang w:val="en-US" w:eastAsia="zh-CN"/>
              </w:rPr>
            </w:pPr>
            <w:r>
              <w:rPr>
                <w:rFonts w:hint="eastAsia"/>
                <w:lang w:val="en-US" w:eastAsia="zh-CN"/>
              </w:rPr>
              <w:t>519.67</w:t>
            </w:r>
          </w:p>
        </w:tc>
        <w:tc>
          <w:tcPr>
            <w:tcW w:w="1474" w:type="dxa"/>
            <w:vAlign w:val="center"/>
          </w:tcPr>
          <w:p>
            <w:pPr>
              <w:pStyle w:val="15"/>
              <w:rPr>
                <w:rFonts w:hint="default" w:eastAsia="方正书宋_GBK"/>
                <w:lang w:val="en-US" w:eastAsia="zh-CN"/>
              </w:rPr>
            </w:pPr>
            <w:r>
              <w:rPr>
                <w:rFonts w:hint="eastAsia"/>
                <w:lang w:val="en-US" w:eastAsia="zh-CN"/>
              </w:rPr>
              <w:t>519.67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eastAsia="方正书宋_GBK"/>
                <w:lang w:val="en-US" w:eastAsia="zh-CN"/>
              </w:rPr>
            </w:pPr>
            <w:r>
              <w:rPr>
                <w:rFonts w:hint="eastAsia"/>
                <w:lang w:val="en-US" w:eastAsia="zh-CN"/>
              </w:rPr>
              <w:t>68.28</w:t>
            </w:r>
          </w:p>
        </w:tc>
        <w:tc>
          <w:tcPr>
            <w:tcW w:w="1474" w:type="dxa"/>
            <w:vAlign w:val="center"/>
          </w:tcPr>
          <w:p>
            <w:pPr>
              <w:pStyle w:val="15"/>
              <w:rPr>
                <w:rFonts w:hint="default" w:eastAsia="方正书宋_GBK"/>
                <w:lang w:val="en-US" w:eastAsia="zh-CN"/>
              </w:rPr>
            </w:pPr>
            <w:r>
              <w:rPr>
                <w:rFonts w:hint="eastAsia"/>
                <w:lang w:val="en-US" w:eastAsia="zh-CN"/>
              </w:rPr>
              <w:t>68.28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eastAsia="方正书宋_GBK"/>
                <w:lang w:val="en-US" w:eastAsia="zh-CN"/>
              </w:rPr>
            </w:pPr>
            <w:r>
              <w:rPr>
                <w:rFonts w:hint="eastAsia"/>
                <w:lang w:val="en-US" w:eastAsia="zh-CN"/>
              </w:rPr>
              <w:t>35.43</w:t>
            </w:r>
          </w:p>
        </w:tc>
        <w:tc>
          <w:tcPr>
            <w:tcW w:w="1474" w:type="dxa"/>
            <w:vAlign w:val="center"/>
          </w:tcPr>
          <w:p>
            <w:pPr>
              <w:pStyle w:val="15"/>
              <w:rPr>
                <w:rFonts w:hint="default" w:eastAsia="方正书宋_GBK"/>
                <w:lang w:val="en-US" w:eastAsia="zh-CN"/>
              </w:rPr>
            </w:pPr>
            <w:r>
              <w:rPr>
                <w:rFonts w:hint="eastAsia"/>
                <w:lang w:val="en-US" w:eastAsia="zh-CN"/>
              </w:rPr>
              <w:t>35.43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eastAsia="方正书宋_GBK"/>
                <w:lang w:val="en-US" w:eastAsia="zh-CN"/>
              </w:rPr>
            </w:pPr>
            <w:r>
              <w:rPr>
                <w:rFonts w:hint="eastAsia"/>
                <w:lang w:val="en-US" w:eastAsia="zh-CN"/>
              </w:rPr>
              <w:t>44.19</w:t>
            </w:r>
          </w:p>
        </w:tc>
        <w:tc>
          <w:tcPr>
            <w:tcW w:w="1474" w:type="dxa"/>
            <w:vAlign w:val="center"/>
          </w:tcPr>
          <w:p>
            <w:pPr>
              <w:pStyle w:val="15"/>
              <w:rPr>
                <w:rFonts w:hint="default" w:eastAsia="方正书宋_GBK"/>
                <w:lang w:val="en-US" w:eastAsia="zh-CN"/>
              </w:rPr>
            </w:pPr>
            <w:r>
              <w:rPr>
                <w:rFonts w:hint="eastAsia"/>
                <w:lang w:val="en-US" w:eastAsia="zh-CN"/>
              </w:rPr>
              <w:t>44.19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rPr>
                <w:rFonts w:hint="default" w:eastAsia="方正书宋_GBK"/>
                <w:lang w:val="en-US" w:eastAsia="zh-CN"/>
              </w:rPr>
            </w:pPr>
            <w:r>
              <w:rPr>
                <w:rFonts w:hint="eastAsia"/>
                <w:lang w:val="en-US" w:eastAsia="zh-CN"/>
              </w:rPr>
              <w:t>2.3</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665.27</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1474" w:type="dxa"/>
            <w:vAlign w:val="center"/>
          </w:tcPr>
          <w:p>
            <w:pPr>
              <w:pStyle w:val="19"/>
              <w:rPr>
                <w:rFonts w:hint="default" w:eastAsia="方正书宋_GBK"/>
                <w:lang w:val="en-US" w:eastAsia="zh-CN"/>
              </w:rPr>
            </w:pPr>
            <w:r>
              <w:rPr>
                <w:rFonts w:hint="eastAsia"/>
                <w:lang w:val="en-US" w:eastAsia="zh-CN"/>
              </w:rPr>
              <w:t>667.57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ind w:firstLine="0" w:firstLineChars="0"/>
              <w:jc w:val="center"/>
              <w:rPr>
                <w:rFonts w:hint="default" w:eastAsia="方正书宋_GBK"/>
                <w:lang w:val="en-US" w:eastAsia="zh-CN"/>
              </w:rPr>
            </w:pPr>
            <w:r>
              <w:rPr>
                <w:rFonts w:hint="eastAsia"/>
                <w:lang w:val="en-US" w:eastAsia="zh-CN"/>
              </w:rPr>
              <w:t>667.57</w:t>
            </w:r>
          </w:p>
        </w:tc>
        <w:tc>
          <w:tcPr>
            <w:tcW w:w="2551" w:type="dxa"/>
            <w:vAlign w:val="center"/>
          </w:tcPr>
          <w:p>
            <w:pPr>
              <w:pStyle w:val="19"/>
              <w:ind w:firstLine="0" w:firstLineChars="0"/>
              <w:jc w:val="center"/>
            </w:pPr>
            <w:r>
              <w:rPr>
                <w:rFonts w:hint="eastAsia"/>
                <w:lang w:val="en-US" w:eastAsia="zh-CN"/>
              </w:rPr>
              <w:t>608.37</w:t>
            </w:r>
          </w:p>
        </w:tc>
        <w:tc>
          <w:tcPr>
            <w:tcW w:w="2551" w:type="dxa"/>
            <w:vAlign w:val="center"/>
          </w:tcPr>
          <w:p>
            <w:pPr>
              <w:pStyle w:val="19"/>
              <w:ind w:firstLine="0" w:firstLineChars="0"/>
              <w:jc w:val="center"/>
              <w:rPr>
                <w:rFonts w:hint="default"/>
                <w:lang w:val="en-US"/>
              </w:rPr>
            </w:pPr>
            <w:r>
              <w:rPr>
                <w:rFonts w:hint="eastAsia"/>
                <w:lang w:val="en-US" w:eastAsia="zh-CN"/>
              </w:rP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ind w:firstLine="0" w:firstLineChars="0"/>
              <w:jc w:val="center"/>
              <w:rPr>
                <w:rFonts w:hint="default" w:eastAsia="方正书宋_GBK"/>
                <w:lang w:val="en-US" w:eastAsia="zh-CN"/>
              </w:rPr>
            </w:pPr>
            <w:r>
              <w:rPr>
                <w:rFonts w:hint="eastAsia"/>
                <w:lang w:val="en-US" w:eastAsia="zh-CN"/>
              </w:rPr>
              <w:t>519.67</w:t>
            </w:r>
          </w:p>
        </w:tc>
        <w:tc>
          <w:tcPr>
            <w:tcW w:w="2551" w:type="dxa"/>
            <w:vAlign w:val="center"/>
          </w:tcPr>
          <w:p>
            <w:pPr>
              <w:pStyle w:val="15"/>
              <w:ind w:firstLine="0" w:firstLineChars="0"/>
              <w:jc w:val="center"/>
            </w:pPr>
            <w:r>
              <w:rPr>
                <w:rFonts w:hint="eastAsia"/>
                <w:lang w:val="en-US" w:eastAsia="zh-CN"/>
              </w:rPr>
              <w:t>460.47</w:t>
            </w:r>
          </w:p>
        </w:tc>
        <w:tc>
          <w:tcPr>
            <w:tcW w:w="2551" w:type="dxa"/>
            <w:vAlign w:val="center"/>
          </w:tcPr>
          <w:p>
            <w:pPr>
              <w:pStyle w:val="15"/>
              <w:ind w:firstLine="0" w:firstLineChars="0"/>
              <w:jc w:val="center"/>
              <w:rPr>
                <w:rFonts w:hint="default"/>
                <w:lang w:val="en-US"/>
              </w:rPr>
            </w:pPr>
            <w:r>
              <w:rPr>
                <w:rFonts w:hint="eastAsia"/>
                <w:lang w:val="en-US" w:eastAsia="zh-CN"/>
              </w:rP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ind w:firstLine="0" w:firstLineChars="0"/>
              <w:jc w:val="center"/>
              <w:rPr>
                <w:rFonts w:hint="default" w:eastAsia="方正书宋_GBK"/>
                <w:lang w:val="en-US" w:eastAsia="zh-CN"/>
              </w:rPr>
            </w:pPr>
            <w:r>
              <w:rPr>
                <w:rFonts w:hint="eastAsia"/>
                <w:lang w:val="en-US" w:eastAsia="zh-CN"/>
              </w:rPr>
              <w:t>519.67</w:t>
            </w:r>
          </w:p>
        </w:tc>
        <w:tc>
          <w:tcPr>
            <w:tcW w:w="2551" w:type="dxa"/>
            <w:vAlign w:val="center"/>
          </w:tcPr>
          <w:p>
            <w:pPr>
              <w:pStyle w:val="15"/>
              <w:ind w:firstLine="0" w:firstLineChars="0"/>
              <w:jc w:val="center"/>
            </w:pPr>
            <w:r>
              <w:rPr>
                <w:rFonts w:hint="eastAsia"/>
                <w:lang w:val="en-US" w:eastAsia="zh-CN"/>
              </w:rPr>
              <w:t>460.47</w:t>
            </w:r>
          </w:p>
        </w:tc>
        <w:tc>
          <w:tcPr>
            <w:tcW w:w="2551" w:type="dxa"/>
            <w:vAlign w:val="center"/>
          </w:tcPr>
          <w:p>
            <w:pPr>
              <w:pStyle w:val="15"/>
              <w:ind w:firstLine="0" w:firstLineChars="0"/>
              <w:jc w:val="center"/>
              <w:rPr>
                <w:rFonts w:hint="default"/>
                <w:lang w:val="en-US"/>
              </w:rPr>
            </w:pPr>
            <w:r>
              <w:rPr>
                <w:rFonts w:hint="eastAsia"/>
                <w:lang w:val="en-US" w:eastAsia="zh-CN"/>
              </w:rP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2012901</w:t>
            </w:r>
          </w:p>
        </w:tc>
        <w:tc>
          <w:tcPr>
            <w:tcW w:w="4535" w:type="dxa"/>
            <w:vAlign w:val="center"/>
          </w:tcPr>
          <w:p>
            <w:pPr>
              <w:pStyle w:val="16"/>
            </w:pPr>
            <w:r>
              <w:t>行政运行</w:t>
            </w:r>
          </w:p>
        </w:tc>
        <w:tc>
          <w:tcPr>
            <w:tcW w:w="2551" w:type="dxa"/>
            <w:vAlign w:val="center"/>
          </w:tcPr>
          <w:p>
            <w:pPr>
              <w:pStyle w:val="15"/>
              <w:ind w:firstLine="0" w:firstLineChars="0"/>
              <w:jc w:val="center"/>
              <w:rPr>
                <w:rFonts w:hint="default" w:eastAsia="方正书宋_GBK"/>
                <w:lang w:val="en-US" w:eastAsia="zh-CN"/>
              </w:rPr>
            </w:pPr>
            <w:r>
              <w:rPr>
                <w:rFonts w:hint="eastAsia"/>
                <w:lang w:val="en-US" w:eastAsia="zh-CN"/>
              </w:rPr>
              <w:t>237.74</w:t>
            </w:r>
          </w:p>
        </w:tc>
        <w:tc>
          <w:tcPr>
            <w:tcW w:w="2551" w:type="dxa"/>
            <w:vAlign w:val="center"/>
          </w:tcPr>
          <w:p>
            <w:pPr>
              <w:pStyle w:val="15"/>
              <w:ind w:firstLine="0" w:firstLineChars="0"/>
              <w:jc w:val="center"/>
            </w:pPr>
            <w:r>
              <w:rPr>
                <w:rFonts w:hint="eastAsia"/>
                <w:lang w:val="en-US" w:eastAsia="zh-CN"/>
              </w:rPr>
              <w:t>237.74</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2012902</w:t>
            </w:r>
          </w:p>
        </w:tc>
        <w:tc>
          <w:tcPr>
            <w:tcW w:w="4535" w:type="dxa"/>
            <w:vAlign w:val="center"/>
          </w:tcPr>
          <w:p>
            <w:pPr>
              <w:pStyle w:val="16"/>
            </w:pPr>
            <w:r>
              <w:t>一般行政管理事务</w:t>
            </w:r>
          </w:p>
        </w:tc>
        <w:tc>
          <w:tcPr>
            <w:tcW w:w="2551" w:type="dxa"/>
            <w:vAlign w:val="center"/>
          </w:tcPr>
          <w:p>
            <w:pPr>
              <w:pStyle w:val="15"/>
              <w:ind w:firstLine="0" w:firstLineChars="0"/>
              <w:jc w:val="center"/>
              <w:rPr>
                <w:rFonts w:hint="default"/>
                <w:lang w:val="en-US"/>
              </w:rPr>
            </w:pPr>
            <w:r>
              <w:rPr>
                <w:rFonts w:hint="eastAsia"/>
                <w:lang w:val="en-US" w:eastAsia="zh-CN"/>
              </w:rPr>
              <w:t>59.2</w:t>
            </w:r>
          </w:p>
        </w:tc>
        <w:tc>
          <w:tcPr>
            <w:tcW w:w="2551" w:type="dxa"/>
            <w:vAlign w:val="center"/>
          </w:tcPr>
          <w:p>
            <w:pPr>
              <w:pStyle w:val="15"/>
              <w:ind w:firstLine="0" w:firstLineChars="0"/>
              <w:jc w:val="center"/>
            </w:pPr>
          </w:p>
        </w:tc>
        <w:tc>
          <w:tcPr>
            <w:tcW w:w="2551" w:type="dxa"/>
            <w:vAlign w:val="center"/>
          </w:tcPr>
          <w:p>
            <w:pPr>
              <w:pStyle w:val="15"/>
              <w:ind w:firstLine="0" w:firstLineChars="0"/>
              <w:jc w:val="center"/>
              <w:rPr>
                <w:rFonts w:hint="default"/>
                <w:lang w:val="en-US"/>
              </w:rPr>
            </w:pPr>
            <w:r>
              <w:rPr>
                <w:rFonts w:hint="eastAsia"/>
                <w:lang w:val="en-US" w:eastAsia="zh-CN"/>
              </w:rP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2012950</w:t>
            </w:r>
          </w:p>
        </w:tc>
        <w:tc>
          <w:tcPr>
            <w:tcW w:w="4535" w:type="dxa"/>
            <w:vAlign w:val="center"/>
          </w:tcPr>
          <w:p>
            <w:pPr>
              <w:pStyle w:val="16"/>
            </w:pPr>
            <w:r>
              <w:t>事业运行</w:t>
            </w:r>
          </w:p>
        </w:tc>
        <w:tc>
          <w:tcPr>
            <w:tcW w:w="2551" w:type="dxa"/>
            <w:vAlign w:val="center"/>
          </w:tcPr>
          <w:p>
            <w:pPr>
              <w:pStyle w:val="15"/>
              <w:ind w:firstLine="0" w:firstLineChars="0"/>
              <w:jc w:val="center"/>
            </w:pPr>
            <w:r>
              <w:rPr>
                <w:rFonts w:hint="eastAsia"/>
                <w:lang w:val="en-US" w:eastAsia="zh-CN"/>
              </w:rPr>
              <w:t>222.73</w:t>
            </w:r>
          </w:p>
        </w:tc>
        <w:tc>
          <w:tcPr>
            <w:tcW w:w="2551" w:type="dxa"/>
            <w:vAlign w:val="center"/>
          </w:tcPr>
          <w:p>
            <w:pPr>
              <w:pStyle w:val="15"/>
              <w:ind w:firstLine="0" w:firstLineChars="0"/>
              <w:jc w:val="center"/>
            </w:pPr>
            <w:r>
              <w:rPr>
                <w:rFonts w:hint="eastAsia"/>
                <w:lang w:val="en-US" w:eastAsia="zh-CN"/>
              </w:rPr>
              <w:t>222.73</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ind w:firstLine="0" w:firstLineChars="0"/>
              <w:jc w:val="center"/>
            </w:pPr>
            <w:r>
              <w:rPr>
                <w:rFonts w:hint="eastAsia"/>
                <w:lang w:val="en-US" w:eastAsia="zh-CN"/>
              </w:rPr>
              <w:t>68.28</w:t>
            </w:r>
          </w:p>
        </w:tc>
        <w:tc>
          <w:tcPr>
            <w:tcW w:w="2551" w:type="dxa"/>
            <w:vAlign w:val="center"/>
          </w:tcPr>
          <w:p>
            <w:pPr>
              <w:pStyle w:val="15"/>
              <w:ind w:firstLine="0" w:firstLineChars="0"/>
              <w:jc w:val="center"/>
            </w:pPr>
            <w:r>
              <w:rPr>
                <w:rFonts w:hint="eastAsia"/>
                <w:lang w:val="en-US" w:eastAsia="zh-CN"/>
              </w:rPr>
              <w:t>68.28</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ind w:firstLine="0" w:firstLineChars="0"/>
              <w:jc w:val="center"/>
            </w:pPr>
            <w:r>
              <w:rPr>
                <w:rFonts w:hint="eastAsia"/>
                <w:lang w:val="en-US" w:eastAsia="zh-CN"/>
              </w:rPr>
              <w:t>68.28</w:t>
            </w:r>
          </w:p>
        </w:tc>
        <w:tc>
          <w:tcPr>
            <w:tcW w:w="2551" w:type="dxa"/>
            <w:vAlign w:val="center"/>
          </w:tcPr>
          <w:p>
            <w:pPr>
              <w:pStyle w:val="15"/>
              <w:ind w:firstLine="0" w:firstLineChars="0"/>
              <w:jc w:val="center"/>
            </w:pPr>
            <w:r>
              <w:rPr>
                <w:rFonts w:hint="eastAsia"/>
                <w:lang w:val="en-US" w:eastAsia="zh-CN"/>
              </w:rPr>
              <w:t>68.28</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ind w:firstLine="0" w:firstLineChars="0"/>
              <w:jc w:val="center"/>
            </w:pPr>
            <w:r>
              <w:rPr>
                <w:rFonts w:hint="eastAsia"/>
                <w:lang w:val="en-US" w:eastAsia="zh-CN"/>
              </w:rPr>
              <w:t>9.37</w:t>
            </w:r>
          </w:p>
        </w:tc>
        <w:tc>
          <w:tcPr>
            <w:tcW w:w="2551" w:type="dxa"/>
            <w:vAlign w:val="center"/>
          </w:tcPr>
          <w:p>
            <w:pPr>
              <w:pStyle w:val="15"/>
              <w:ind w:firstLine="0" w:firstLineChars="0"/>
              <w:jc w:val="center"/>
            </w:pPr>
            <w:r>
              <w:rPr>
                <w:rFonts w:hint="eastAsia"/>
                <w:lang w:val="en-US" w:eastAsia="zh-CN"/>
              </w:rPr>
              <w:t>9.37</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ind w:firstLine="0" w:firstLineChars="0"/>
              <w:jc w:val="center"/>
            </w:pPr>
            <w:r>
              <w:rPr>
                <w:rFonts w:hint="eastAsia"/>
                <w:lang w:val="en-US" w:eastAsia="zh-CN"/>
              </w:rPr>
              <w:t>58.92</w:t>
            </w:r>
          </w:p>
        </w:tc>
        <w:tc>
          <w:tcPr>
            <w:tcW w:w="2551" w:type="dxa"/>
            <w:vAlign w:val="center"/>
          </w:tcPr>
          <w:p>
            <w:pPr>
              <w:pStyle w:val="15"/>
              <w:ind w:firstLine="0" w:firstLineChars="0"/>
              <w:jc w:val="center"/>
            </w:pPr>
            <w:r>
              <w:rPr>
                <w:rFonts w:hint="eastAsia"/>
                <w:lang w:val="en-US" w:eastAsia="zh-CN"/>
              </w:rPr>
              <w:t>58.92</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ind w:firstLine="0" w:firstLineChars="0"/>
              <w:jc w:val="center"/>
            </w:pPr>
            <w:r>
              <w:rPr>
                <w:rFonts w:hint="eastAsia"/>
                <w:lang w:val="en-US" w:eastAsia="zh-CN"/>
              </w:rPr>
              <w:t>35.43</w:t>
            </w:r>
          </w:p>
        </w:tc>
        <w:tc>
          <w:tcPr>
            <w:tcW w:w="2551" w:type="dxa"/>
            <w:vAlign w:val="center"/>
          </w:tcPr>
          <w:p>
            <w:pPr>
              <w:pStyle w:val="15"/>
              <w:ind w:firstLine="0" w:firstLineChars="0"/>
              <w:jc w:val="center"/>
            </w:pPr>
            <w:r>
              <w:rPr>
                <w:rFonts w:hint="eastAsia"/>
                <w:lang w:val="en-US" w:eastAsia="zh-CN"/>
              </w:rPr>
              <w:t>35.43</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ind w:firstLine="0" w:firstLineChars="0"/>
              <w:jc w:val="center"/>
            </w:pPr>
            <w:r>
              <w:rPr>
                <w:rFonts w:hint="eastAsia"/>
                <w:lang w:val="en-US" w:eastAsia="zh-CN"/>
              </w:rPr>
              <w:t>35.43</w:t>
            </w:r>
          </w:p>
        </w:tc>
        <w:tc>
          <w:tcPr>
            <w:tcW w:w="2551" w:type="dxa"/>
            <w:vAlign w:val="center"/>
          </w:tcPr>
          <w:p>
            <w:pPr>
              <w:pStyle w:val="15"/>
              <w:ind w:firstLine="0" w:firstLineChars="0"/>
              <w:jc w:val="center"/>
            </w:pPr>
            <w:r>
              <w:rPr>
                <w:rFonts w:hint="eastAsia"/>
                <w:lang w:val="en-US" w:eastAsia="zh-CN"/>
              </w:rPr>
              <w:t>35.43</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ind w:firstLine="0" w:firstLineChars="0"/>
              <w:jc w:val="center"/>
            </w:pPr>
            <w:r>
              <w:rPr>
                <w:rFonts w:hint="eastAsia"/>
                <w:lang w:val="en-US" w:eastAsia="zh-CN"/>
              </w:rPr>
              <w:t>16.53</w:t>
            </w:r>
          </w:p>
        </w:tc>
        <w:tc>
          <w:tcPr>
            <w:tcW w:w="2551" w:type="dxa"/>
            <w:vAlign w:val="center"/>
          </w:tcPr>
          <w:p>
            <w:pPr>
              <w:pStyle w:val="15"/>
              <w:ind w:firstLine="0" w:firstLineChars="0"/>
              <w:jc w:val="center"/>
            </w:pPr>
            <w:r>
              <w:rPr>
                <w:rFonts w:hint="eastAsia"/>
                <w:lang w:val="en-US" w:eastAsia="zh-CN"/>
              </w:rPr>
              <w:t>16.53</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ind w:firstLine="0" w:firstLineChars="0"/>
              <w:jc w:val="center"/>
            </w:pPr>
            <w:r>
              <w:rPr>
                <w:rFonts w:hint="eastAsia"/>
                <w:lang w:val="en-US" w:eastAsia="zh-CN"/>
              </w:rPr>
              <w:t>18.9</w:t>
            </w:r>
          </w:p>
        </w:tc>
        <w:tc>
          <w:tcPr>
            <w:tcW w:w="2551" w:type="dxa"/>
            <w:vAlign w:val="center"/>
          </w:tcPr>
          <w:p>
            <w:pPr>
              <w:pStyle w:val="15"/>
              <w:ind w:firstLine="0" w:firstLineChars="0"/>
              <w:jc w:val="center"/>
            </w:pPr>
            <w:r>
              <w:rPr>
                <w:rFonts w:hint="eastAsia"/>
                <w:lang w:val="en-US" w:eastAsia="zh-CN"/>
              </w:rPr>
              <w:t>18.9</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ind w:firstLine="0" w:firstLineChars="0"/>
              <w:jc w:val="cente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187"/>
        <w:gridCol w:w="4516"/>
        <w:gridCol w:w="2541"/>
        <w:gridCol w:w="2541"/>
        <w:gridCol w:w="2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jc w:val="center"/>
              <w:rPr>
                <w:rFonts w:hint="default" w:eastAsia="方正书宋_GBK"/>
                <w:lang w:val="en-US" w:eastAsia="zh-CN"/>
              </w:rPr>
            </w:pPr>
            <w:r>
              <w:rPr>
                <w:rFonts w:hint="eastAsia"/>
                <w:lang w:val="en-US" w:eastAsia="zh-CN"/>
              </w:rPr>
              <w:t>608.37</w:t>
            </w:r>
          </w:p>
        </w:tc>
        <w:tc>
          <w:tcPr>
            <w:tcW w:w="2551" w:type="dxa"/>
            <w:vAlign w:val="center"/>
          </w:tcPr>
          <w:p>
            <w:pPr>
              <w:pStyle w:val="19"/>
              <w:jc w:val="center"/>
              <w:rPr>
                <w:rFonts w:hint="default" w:eastAsia="方正书宋_GBK"/>
                <w:lang w:val="en-US" w:eastAsia="zh-CN"/>
              </w:rPr>
            </w:pPr>
            <w:r>
              <w:rPr>
                <w:rFonts w:hint="eastAsia"/>
                <w:lang w:val="en-US" w:eastAsia="zh-CN"/>
              </w:rPr>
              <w:t>538.48</w:t>
            </w:r>
          </w:p>
        </w:tc>
        <w:tc>
          <w:tcPr>
            <w:tcW w:w="2551" w:type="dxa"/>
            <w:vAlign w:val="center"/>
          </w:tcPr>
          <w:p>
            <w:pPr>
              <w:pStyle w:val="19"/>
              <w:jc w:val="center"/>
              <w:rPr>
                <w:rFonts w:hint="default" w:eastAsia="方正书宋_GBK"/>
                <w:lang w:val="en-US" w:eastAsia="zh-CN"/>
              </w:rPr>
            </w:pPr>
            <w:r>
              <w:rPr>
                <w:rFonts w:hint="eastAsia"/>
                <w:lang w:val="en-US" w:eastAsia="zh-CN"/>
              </w:rPr>
              <w:t>69.88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jc w:val="center"/>
              <w:rPr>
                <w:rFonts w:hint="default" w:eastAsia="方正书宋_GBK"/>
                <w:lang w:val="en-US" w:eastAsia="zh-CN"/>
              </w:rPr>
            </w:pPr>
            <w:r>
              <w:rPr>
                <w:rFonts w:hint="eastAsia"/>
                <w:lang w:val="en-US" w:eastAsia="zh-CN"/>
              </w:rPr>
              <w:t>528.98</w:t>
            </w:r>
          </w:p>
        </w:tc>
        <w:tc>
          <w:tcPr>
            <w:tcW w:w="2551" w:type="dxa"/>
            <w:vAlign w:val="center"/>
          </w:tcPr>
          <w:p>
            <w:pPr>
              <w:pStyle w:val="15"/>
              <w:ind w:firstLine="0" w:firstLineChars="0"/>
              <w:jc w:val="center"/>
            </w:pPr>
            <w:r>
              <w:rPr>
                <w:rFonts w:hint="eastAsia"/>
                <w:lang w:val="en-US" w:eastAsia="zh-CN"/>
              </w:rPr>
              <w:t>528.98</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jc w:val="center"/>
              <w:rPr>
                <w:rFonts w:hint="default" w:eastAsia="方正书宋_GBK"/>
                <w:lang w:val="en-US" w:eastAsia="zh-CN"/>
              </w:rPr>
            </w:pPr>
            <w:r>
              <w:rPr>
                <w:rFonts w:hint="eastAsia"/>
                <w:lang w:val="en-US" w:eastAsia="zh-CN"/>
              </w:rPr>
              <w:t>161.62</w:t>
            </w:r>
          </w:p>
        </w:tc>
        <w:tc>
          <w:tcPr>
            <w:tcW w:w="2551" w:type="dxa"/>
            <w:vAlign w:val="center"/>
          </w:tcPr>
          <w:p>
            <w:pPr>
              <w:pStyle w:val="15"/>
              <w:ind w:firstLine="0" w:firstLineChars="0"/>
              <w:jc w:val="center"/>
            </w:pPr>
            <w:r>
              <w:rPr>
                <w:rFonts w:hint="eastAsia"/>
                <w:lang w:val="en-US" w:eastAsia="zh-CN"/>
              </w:rPr>
              <w:t>161.62</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jc w:val="center"/>
              <w:rPr>
                <w:rFonts w:hint="default" w:eastAsia="方正书宋_GBK"/>
                <w:lang w:val="en-US" w:eastAsia="zh-CN"/>
              </w:rPr>
            </w:pPr>
            <w:r>
              <w:rPr>
                <w:rFonts w:hint="eastAsia"/>
                <w:lang w:val="en-US" w:eastAsia="zh-CN"/>
              </w:rPr>
              <w:t>153.61</w:t>
            </w:r>
          </w:p>
        </w:tc>
        <w:tc>
          <w:tcPr>
            <w:tcW w:w="2551" w:type="dxa"/>
            <w:vAlign w:val="center"/>
          </w:tcPr>
          <w:p>
            <w:pPr>
              <w:pStyle w:val="15"/>
              <w:ind w:firstLine="0" w:firstLineChars="0"/>
              <w:jc w:val="center"/>
            </w:pPr>
            <w:r>
              <w:rPr>
                <w:rFonts w:hint="eastAsia"/>
                <w:lang w:val="en-US" w:eastAsia="zh-CN"/>
              </w:rPr>
              <w:t>153.61</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jc w:val="center"/>
              <w:rPr>
                <w:rFonts w:hint="default" w:eastAsia="方正书宋_GBK"/>
                <w:lang w:val="en-US" w:eastAsia="zh-CN"/>
              </w:rPr>
            </w:pPr>
            <w:r>
              <w:rPr>
                <w:rFonts w:hint="eastAsia"/>
                <w:lang w:val="en-US" w:eastAsia="zh-CN"/>
              </w:rPr>
              <w:t>6.41</w:t>
            </w:r>
          </w:p>
        </w:tc>
        <w:tc>
          <w:tcPr>
            <w:tcW w:w="2551" w:type="dxa"/>
            <w:vAlign w:val="center"/>
          </w:tcPr>
          <w:p>
            <w:pPr>
              <w:pStyle w:val="15"/>
              <w:ind w:firstLine="0" w:firstLineChars="0"/>
              <w:jc w:val="center"/>
            </w:pPr>
            <w:r>
              <w:rPr>
                <w:rFonts w:hint="eastAsia"/>
                <w:lang w:val="en-US" w:eastAsia="zh-CN"/>
              </w:rPr>
              <w:t>6.41</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jc w:val="center"/>
              <w:rPr>
                <w:rFonts w:hint="default" w:eastAsia="方正书宋_GBK"/>
                <w:lang w:val="en-US" w:eastAsia="zh-CN"/>
              </w:rPr>
            </w:pPr>
            <w:r>
              <w:rPr>
                <w:rFonts w:hint="eastAsia"/>
                <w:lang w:val="en-US" w:eastAsia="zh-CN"/>
              </w:rPr>
              <w:t>66.25</w:t>
            </w:r>
          </w:p>
        </w:tc>
        <w:tc>
          <w:tcPr>
            <w:tcW w:w="2551" w:type="dxa"/>
            <w:vAlign w:val="center"/>
          </w:tcPr>
          <w:p>
            <w:pPr>
              <w:pStyle w:val="15"/>
              <w:ind w:firstLine="0" w:firstLineChars="0"/>
              <w:jc w:val="center"/>
            </w:pPr>
            <w:r>
              <w:rPr>
                <w:rFonts w:hint="eastAsia"/>
                <w:lang w:val="en-US" w:eastAsia="zh-CN"/>
              </w:rPr>
              <w:t>66.25</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jc w:val="center"/>
              <w:rPr>
                <w:rFonts w:hint="default" w:eastAsia="方正书宋_GBK"/>
                <w:lang w:val="en-US" w:eastAsia="zh-CN"/>
              </w:rPr>
            </w:pPr>
            <w:r>
              <w:rPr>
                <w:rFonts w:hint="eastAsia"/>
                <w:lang w:val="en-US" w:eastAsia="zh-CN"/>
              </w:rPr>
              <w:t>58.92</w:t>
            </w:r>
          </w:p>
        </w:tc>
        <w:tc>
          <w:tcPr>
            <w:tcW w:w="2551" w:type="dxa"/>
            <w:vAlign w:val="center"/>
          </w:tcPr>
          <w:p>
            <w:pPr>
              <w:pStyle w:val="15"/>
              <w:ind w:firstLine="0" w:firstLineChars="0"/>
              <w:jc w:val="center"/>
            </w:pPr>
            <w:r>
              <w:rPr>
                <w:rFonts w:hint="eastAsia"/>
                <w:lang w:val="en-US" w:eastAsia="zh-CN"/>
              </w:rPr>
              <w:t>58.92</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jc w:val="center"/>
              <w:rPr>
                <w:rFonts w:hint="default" w:eastAsia="方正书宋_GBK"/>
                <w:lang w:val="en-US" w:eastAsia="zh-CN"/>
              </w:rPr>
            </w:pPr>
            <w:r>
              <w:rPr>
                <w:rFonts w:hint="eastAsia"/>
                <w:lang w:val="en-US" w:eastAsia="zh-CN"/>
              </w:rPr>
              <w:t>20.39</w:t>
            </w:r>
          </w:p>
        </w:tc>
        <w:tc>
          <w:tcPr>
            <w:tcW w:w="2551" w:type="dxa"/>
            <w:vAlign w:val="center"/>
          </w:tcPr>
          <w:p>
            <w:pPr>
              <w:pStyle w:val="15"/>
              <w:ind w:firstLine="0" w:firstLineChars="0"/>
              <w:jc w:val="center"/>
            </w:pPr>
            <w:r>
              <w:rPr>
                <w:rFonts w:hint="eastAsia"/>
                <w:lang w:val="en-US" w:eastAsia="zh-CN"/>
              </w:rPr>
              <w:t>20.39</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jc w:val="center"/>
              <w:rPr>
                <w:rFonts w:hint="default" w:eastAsia="方正书宋_GBK"/>
                <w:lang w:val="en-US" w:eastAsia="zh-CN"/>
              </w:rPr>
            </w:pPr>
            <w:r>
              <w:rPr>
                <w:rFonts w:hint="eastAsia"/>
                <w:lang w:val="en-US" w:eastAsia="zh-CN"/>
              </w:rPr>
              <w:t>6.39</w:t>
            </w:r>
          </w:p>
        </w:tc>
        <w:tc>
          <w:tcPr>
            <w:tcW w:w="2551" w:type="dxa"/>
            <w:vAlign w:val="center"/>
          </w:tcPr>
          <w:p>
            <w:pPr>
              <w:pStyle w:val="15"/>
              <w:ind w:firstLine="0" w:firstLineChars="0"/>
              <w:jc w:val="center"/>
            </w:pPr>
            <w:r>
              <w:rPr>
                <w:rFonts w:hint="eastAsia"/>
                <w:lang w:val="en-US" w:eastAsia="zh-CN"/>
              </w:rPr>
              <w:t>6.39</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jc w:val="center"/>
              <w:rPr>
                <w:rFonts w:hint="default" w:eastAsia="方正书宋_GBK"/>
                <w:lang w:val="en-US" w:eastAsia="zh-CN"/>
              </w:rPr>
            </w:pPr>
            <w:r>
              <w:rPr>
                <w:rFonts w:hint="eastAsia"/>
                <w:lang w:val="en-US" w:eastAsia="zh-CN"/>
              </w:rPr>
              <w:t>11.2</w:t>
            </w:r>
          </w:p>
        </w:tc>
        <w:tc>
          <w:tcPr>
            <w:tcW w:w="2551" w:type="dxa"/>
            <w:vAlign w:val="center"/>
          </w:tcPr>
          <w:p>
            <w:pPr>
              <w:pStyle w:val="15"/>
              <w:ind w:firstLine="0" w:firstLineChars="0"/>
              <w:jc w:val="center"/>
            </w:pPr>
            <w:r>
              <w:rPr>
                <w:rFonts w:hint="eastAsia"/>
                <w:lang w:val="en-US" w:eastAsia="zh-CN"/>
              </w:rPr>
              <w:t>11.2</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jc w:val="center"/>
              <w:rPr>
                <w:rFonts w:hint="default" w:eastAsia="方正书宋_GBK"/>
                <w:lang w:val="en-US" w:eastAsia="zh-CN"/>
              </w:rPr>
            </w:pPr>
            <w:r>
              <w:rPr>
                <w:rFonts w:hint="eastAsia"/>
                <w:lang w:val="en-US" w:eastAsia="zh-CN"/>
              </w:rPr>
              <w:t>44.19</w:t>
            </w:r>
          </w:p>
        </w:tc>
        <w:tc>
          <w:tcPr>
            <w:tcW w:w="2551" w:type="dxa"/>
            <w:vAlign w:val="center"/>
          </w:tcPr>
          <w:p>
            <w:pPr>
              <w:pStyle w:val="15"/>
              <w:ind w:firstLine="0" w:firstLineChars="0"/>
              <w:jc w:val="center"/>
            </w:pPr>
            <w:r>
              <w:rPr>
                <w:rFonts w:hint="eastAsia"/>
                <w:lang w:val="en-US" w:eastAsia="zh-CN"/>
              </w:rPr>
              <w:t>44.19</w:t>
            </w:r>
          </w:p>
        </w:tc>
        <w:tc>
          <w:tcPr>
            <w:tcW w:w="2551"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jc w:val="center"/>
              <w:rPr>
                <w:rFonts w:hint="default" w:eastAsia="方正书宋_GBK"/>
                <w:lang w:val="en-US" w:eastAsia="zh-CN"/>
              </w:rPr>
            </w:pPr>
            <w:r>
              <w:rPr>
                <w:rFonts w:hint="eastAsia"/>
                <w:lang w:val="en-US" w:eastAsia="zh-CN"/>
              </w:rPr>
              <w:t>69.88</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69.88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jc w:val="center"/>
              <w:rPr>
                <w:rFonts w:hint="default" w:eastAsia="方正书宋_GBK"/>
                <w:lang w:val="en-US" w:eastAsia="zh-CN"/>
              </w:rPr>
            </w:pPr>
            <w:r>
              <w:rPr>
                <w:rFonts w:hint="eastAsia"/>
                <w:lang w:val="en-US" w:eastAsia="zh-CN"/>
              </w:rPr>
              <w:t>1.32</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jc w:val="center"/>
              <w:rPr>
                <w:rFonts w:hint="default" w:eastAsia="方正书宋_GBK"/>
                <w:lang w:val="en-US" w:eastAsia="zh-CN"/>
              </w:rPr>
            </w:pPr>
            <w:r>
              <w:rPr>
                <w:rFonts w:hint="eastAsia"/>
                <w:lang w:val="en-US" w:eastAsia="zh-CN"/>
              </w:rPr>
              <w:t>0.48</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jc w:val="center"/>
              <w:rPr>
                <w:rFonts w:hint="default" w:eastAsia="方正书宋_GBK"/>
                <w:lang w:val="en-US" w:eastAsia="zh-CN"/>
              </w:rPr>
            </w:pPr>
            <w:r>
              <w:rPr>
                <w:rFonts w:hint="eastAsia"/>
                <w:lang w:val="en-US" w:eastAsia="zh-CN"/>
              </w:rPr>
              <w:t>0.4</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jc w:val="center"/>
              <w:rPr>
                <w:rFonts w:hint="default" w:eastAsia="方正书宋_GBK"/>
                <w:lang w:val="en-US" w:eastAsia="zh-CN"/>
              </w:rPr>
            </w:pPr>
            <w:r>
              <w:rPr>
                <w:rFonts w:hint="eastAsia"/>
                <w:lang w:val="en-US" w:eastAsia="zh-CN"/>
              </w:rPr>
              <w:t>1.15</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jc w:val="center"/>
              <w:rPr>
                <w:rFonts w:hint="default" w:eastAsia="方正书宋_GBK"/>
                <w:lang w:val="en-US" w:eastAsia="zh-CN"/>
              </w:rPr>
            </w:pPr>
            <w:r>
              <w:rPr>
                <w:rFonts w:hint="eastAsia"/>
                <w:lang w:val="en-US" w:eastAsia="zh-CN"/>
              </w:rPr>
              <w:t>12.53</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jc w:val="center"/>
              <w:rPr>
                <w:rFonts w:hint="default" w:eastAsia="方正书宋_GBK"/>
                <w:lang w:val="en-US" w:eastAsia="zh-CN"/>
              </w:rPr>
            </w:pPr>
            <w:r>
              <w:rPr>
                <w:rFonts w:hint="eastAsia"/>
                <w:lang w:val="en-US" w:eastAsia="zh-CN"/>
              </w:rPr>
              <w:t>5.4</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jc w:val="center"/>
              <w:rPr>
                <w:rFonts w:hint="default" w:eastAsia="方正书宋_GBK"/>
                <w:lang w:val="en-US" w:eastAsia="zh-CN"/>
              </w:rPr>
            </w:pPr>
            <w:r>
              <w:rPr>
                <w:rFonts w:hint="eastAsia"/>
                <w:lang w:val="en-US" w:eastAsia="zh-CN"/>
              </w:rPr>
              <w:t>17.52</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jc w:val="center"/>
              <w:rPr>
                <w:rFonts w:hint="default" w:eastAsia="方正书宋_GBK"/>
                <w:lang w:val="en-US" w:eastAsia="zh-CN"/>
              </w:rPr>
            </w:pPr>
            <w:r>
              <w:rPr>
                <w:rFonts w:hint="eastAsia"/>
                <w:lang w:val="en-US" w:eastAsia="zh-CN"/>
              </w:rPr>
              <w:t>0.21</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jc w:val="center"/>
              <w:rPr>
                <w:rFonts w:hint="default" w:eastAsia="方正书宋_GBK"/>
                <w:lang w:val="en-US" w:eastAsia="zh-CN"/>
              </w:rPr>
            </w:pPr>
            <w:r>
              <w:rPr>
                <w:rFonts w:hint="eastAsia"/>
                <w:lang w:val="en-US" w:eastAsia="zh-CN"/>
              </w:rPr>
              <w:t>1.23</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jc w:val="center"/>
              <w:rPr>
                <w:rFonts w:hint="default" w:eastAsia="方正书宋_GBK"/>
                <w:lang w:val="en-US" w:eastAsia="zh-CN"/>
              </w:rPr>
            </w:pPr>
            <w:r>
              <w:rPr>
                <w:rFonts w:hint="eastAsia"/>
                <w:lang w:val="en-US" w:eastAsia="zh-CN"/>
              </w:rPr>
              <w:t>3.29</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jc w:val="center"/>
              <w:rPr>
                <w:rFonts w:hint="default" w:eastAsia="方正书宋_GBK"/>
                <w:lang w:val="en-US" w:eastAsia="zh-CN"/>
              </w:rPr>
            </w:pPr>
            <w:r>
              <w:rPr>
                <w:rFonts w:hint="eastAsia"/>
                <w:lang w:val="en-US" w:eastAsia="zh-CN"/>
              </w:rPr>
              <w:t>0.75</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jc w:val="center"/>
            </w:pPr>
            <w:r>
              <w:t>1.00</w:t>
            </w:r>
          </w:p>
        </w:tc>
        <w:tc>
          <w:tcPr>
            <w:tcW w:w="2551" w:type="dxa"/>
            <w:vAlign w:val="center"/>
          </w:tcPr>
          <w:p>
            <w:pPr>
              <w:pStyle w:val="15"/>
              <w:jc w:val="center"/>
            </w:pPr>
          </w:p>
        </w:tc>
        <w:tc>
          <w:tcPr>
            <w:tcW w:w="2551" w:type="dxa"/>
            <w:vAlign w:val="center"/>
          </w:tcPr>
          <w:p>
            <w:pPr>
              <w:pStyle w:val="15"/>
              <w:ind w:firstLine="0" w:firstLineChars="0"/>
              <w:jc w:val="center"/>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jc w:val="center"/>
              <w:rPr>
                <w:rFonts w:hint="default" w:eastAsia="方正书宋_GBK"/>
                <w:lang w:val="en-US" w:eastAsia="zh-CN"/>
              </w:rPr>
            </w:pPr>
            <w:r>
              <w:rPr>
                <w:rFonts w:hint="eastAsia"/>
                <w:lang w:val="en-US" w:eastAsia="zh-CN"/>
              </w:rPr>
              <w:t>5.91</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jc w:val="center"/>
              <w:rPr>
                <w:rFonts w:hint="default" w:eastAsia="方正书宋_GBK"/>
                <w:lang w:val="en-US" w:eastAsia="zh-CN"/>
              </w:rPr>
            </w:pPr>
            <w:r>
              <w:rPr>
                <w:rFonts w:hint="eastAsia"/>
                <w:lang w:val="en-US" w:eastAsia="zh-CN"/>
              </w:rPr>
              <w:t>4.04</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jc w:val="center"/>
            </w:pPr>
            <w:r>
              <w:t>3.10</w:t>
            </w:r>
          </w:p>
        </w:tc>
        <w:tc>
          <w:tcPr>
            <w:tcW w:w="2551" w:type="dxa"/>
            <w:vAlign w:val="center"/>
          </w:tcPr>
          <w:p>
            <w:pPr>
              <w:pStyle w:val="15"/>
              <w:jc w:val="center"/>
            </w:pPr>
          </w:p>
        </w:tc>
        <w:tc>
          <w:tcPr>
            <w:tcW w:w="2551" w:type="dxa"/>
            <w:vAlign w:val="center"/>
          </w:tcPr>
          <w:p>
            <w:pPr>
              <w:pStyle w:val="15"/>
              <w:ind w:firstLine="0" w:firstLineChars="0"/>
              <w:jc w:val="center"/>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jc w:val="center"/>
            </w:pPr>
            <w:r>
              <w:t>9.63</w:t>
            </w:r>
          </w:p>
        </w:tc>
        <w:tc>
          <w:tcPr>
            <w:tcW w:w="2551" w:type="dxa"/>
            <w:vAlign w:val="center"/>
          </w:tcPr>
          <w:p>
            <w:pPr>
              <w:pStyle w:val="15"/>
              <w:jc w:val="center"/>
            </w:pPr>
          </w:p>
        </w:tc>
        <w:tc>
          <w:tcPr>
            <w:tcW w:w="2551" w:type="dxa"/>
            <w:vAlign w:val="center"/>
          </w:tcPr>
          <w:p>
            <w:pPr>
              <w:pStyle w:val="15"/>
              <w:ind w:firstLine="0" w:firstLineChars="0"/>
              <w:jc w:val="center"/>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jc w:val="center"/>
              <w:rPr>
                <w:rFonts w:hint="default" w:eastAsia="方正书宋_GBK"/>
                <w:lang w:val="en-US" w:eastAsia="zh-CN"/>
              </w:rPr>
            </w:pPr>
            <w:r>
              <w:rPr>
                <w:rFonts w:hint="eastAsia"/>
                <w:lang w:val="en-US" w:eastAsia="zh-CN"/>
              </w:rPr>
              <w:t>1.93</w:t>
            </w:r>
          </w:p>
        </w:tc>
        <w:tc>
          <w:tcPr>
            <w:tcW w:w="2551" w:type="dxa"/>
            <w:vAlign w:val="center"/>
          </w:tcPr>
          <w:p>
            <w:pPr>
              <w:pStyle w:val="15"/>
              <w:jc w:val="center"/>
            </w:pPr>
          </w:p>
        </w:tc>
        <w:tc>
          <w:tcPr>
            <w:tcW w:w="2551" w:type="dxa"/>
            <w:vAlign w:val="center"/>
          </w:tcPr>
          <w:p>
            <w:pPr>
              <w:pStyle w:val="15"/>
              <w:ind w:firstLine="0" w:firstLineChars="0"/>
              <w:jc w:val="center"/>
            </w:pPr>
            <w:r>
              <w:rPr>
                <w:rFonts w:hint="eastAsia"/>
                <w:lang w:val="en-US" w:eastAsia="zh-CN"/>
              </w:rP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jc w:val="center"/>
              <w:rPr>
                <w:rFonts w:hint="default" w:eastAsia="方正书宋_GBK"/>
                <w:lang w:val="en-US" w:eastAsia="zh-CN"/>
              </w:rPr>
            </w:pPr>
            <w:r>
              <w:rPr>
                <w:rFonts w:hint="eastAsia"/>
                <w:lang w:val="en-US" w:eastAsia="zh-CN"/>
              </w:rPr>
              <w:t>9.5</w:t>
            </w:r>
          </w:p>
        </w:tc>
        <w:tc>
          <w:tcPr>
            <w:tcW w:w="2551" w:type="dxa"/>
            <w:vAlign w:val="center"/>
          </w:tcPr>
          <w:p>
            <w:pPr>
              <w:pStyle w:val="15"/>
              <w:ind w:firstLine="0" w:firstLineChars="0"/>
              <w:jc w:val="center"/>
            </w:pPr>
            <w:r>
              <w:rPr>
                <w:rFonts w:hint="eastAsia"/>
                <w:lang w:val="en-US" w:eastAsia="zh-CN"/>
              </w:rPr>
              <w:t>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jc w:val="center"/>
              <w:rPr>
                <w:rFonts w:hint="default" w:eastAsia="方正书宋_GBK"/>
                <w:lang w:val="en-US" w:eastAsia="zh-CN"/>
              </w:rPr>
            </w:pPr>
            <w:r>
              <w:rPr>
                <w:rFonts w:hint="eastAsia"/>
                <w:lang w:val="en-US" w:eastAsia="zh-CN"/>
              </w:rPr>
              <w:t>8.88</w:t>
            </w:r>
          </w:p>
        </w:tc>
        <w:tc>
          <w:tcPr>
            <w:tcW w:w="2551" w:type="dxa"/>
            <w:vAlign w:val="center"/>
          </w:tcPr>
          <w:p>
            <w:pPr>
              <w:pStyle w:val="15"/>
              <w:ind w:firstLine="0" w:firstLineChars="0"/>
              <w:jc w:val="center"/>
            </w:pPr>
            <w:r>
              <w:rPr>
                <w:rFonts w:hint="eastAsia"/>
                <w:lang w:val="en-US" w:eastAsia="zh-CN"/>
              </w:rPr>
              <w:t>8.88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jc w:val="center"/>
              <w:rPr>
                <w:rFonts w:hint="default" w:eastAsia="方正书宋_GBK"/>
                <w:lang w:val="en-US" w:eastAsia="zh-CN"/>
              </w:rPr>
            </w:pPr>
          </w:p>
        </w:tc>
        <w:tc>
          <w:tcPr>
            <w:tcW w:w="2551" w:type="dxa"/>
            <w:vAlign w:val="center"/>
          </w:tcPr>
          <w:p>
            <w:pPr>
              <w:pStyle w:val="15"/>
              <w:ind w:firstLine="0" w:firstLineChars="0"/>
              <w:jc w:val="center"/>
            </w:pP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jc w:val="center"/>
              <w:rPr>
                <w:rFonts w:hint="default" w:eastAsia="方正书宋_GBK"/>
                <w:lang w:val="en-US" w:eastAsia="zh-CN"/>
              </w:rPr>
            </w:pPr>
            <w:r>
              <w:rPr>
                <w:rFonts w:hint="eastAsia"/>
                <w:lang w:val="en-US" w:eastAsia="zh-CN"/>
              </w:rPr>
              <w:t>0.62</w:t>
            </w:r>
          </w:p>
        </w:tc>
        <w:tc>
          <w:tcPr>
            <w:tcW w:w="2551" w:type="dxa"/>
            <w:vAlign w:val="center"/>
          </w:tcPr>
          <w:p>
            <w:pPr>
              <w:pStyle w:val="15"/>
              <w:ind w:firstLine="0" w:firstLineChars="0"/>
              <w:jc w:val="center"/>
              <w:rPr>
                <w:rFonts w:hint="default"/>
                <w:lang w:val="en-US"/>
              </w:rPr>
            </w:pPr>
            <w:r>
              <w:rPr>
                <w:rFonts w:hint="eastAsia"/>
                <w:lang w:val="en-US" w:eastAsia="zh-CN"/>
              </w:rPr>
              <w:t>0.62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187"/>
        <w:gridCol w:w="4516"/>
        <w:gridCol w:w="2541"/>
        <w:gridCol w:w="2541"/>
        <w:gridCol w:w="2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712共青团张家口市委员会</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3.85</w:t>
            </w:r>
          </w:p>
        </w:tc>
        <w:tc>
          <w:tcPr>
            <w:tcW w:w="2381" w:type="dxa"/>
            <w:vAlign w:val="center"/>
          </w:tcPr>
          <w:p>
            <w:pPr>
              <w:pStyle w:val="19"/>
              <w:rPr>
                <w:rFonts w:hint="default" w:eastAsia="方正书宋_GBK"/>
                <w:lang w:val="en-US" w:eastAsia="zh-CN"/>
              </w:rPr>
            </w:pPr>
            <w:r>
              <w:rPr>
                <w:rFonts w:hint="eastAsia"/>
                <w:lang w:val="en-US" w:eastAsia="zh-CN"/>
              </w:rPr>
              <w:t>3.85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2</w:t>
            </w:r>
          </w:p>
        </w:tc>
        <w:tc>
          <w:tcPr>
            <w:tcW w:w="3798" w:type="dxa"/>
            <w:vAlign w:val="center"/>
          </w:tcPr>
          <w:p>
            <w:pPr>
              <w:pStyle w:val="16"/>
            </w:pPr>
            <w:r>
              <w:t>一、因公出国（境）费</w:t>
            </w:r>
          </w:p>
        </w:tc>
        <w:tc>
          <w:tcPr>
            <w:tcW w:w="2382" w:type="dxa"/>
            <w:vAlign w:val="center"/>
          </w:tcPr>
          <w:p>
            <w:pPr>
              <w:pStyle w:val="15"/>
              <w:rPr>
                <w:rFonts w:hint="default" w:eastAsia="方正书宋_GBK"/>
                <w:lang w:val="en-US" w:eastAsia="zh-CN"/>
              </w:rPr>
            </w:pPr>
          </w:p>
        </w:tc>
        <w:tc>
          <w:tcPr>
            <w:tcW w:w="2381" w:type="dxa"/>
            <w:vAlign w:val="center"/>
          </w:tcPr>
          <w:p>
            <w:pPr>
              <w:pStyle w:val="15"/>
              <w:rPr>
                <w:rFonts w:hint="default" w:eastAsia="方正书宋_GBK"/>
                <w:lang w:val="en-US" w:eastAsia="zh-CN"/>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3</w:t>
            </w:r>
          </w:p>
        </w:tc>
        <w:tc>
          <w:tcPr>
            <w:tcW w:w="3798" w:type="dxa"/>
            <w:vAlign w:val="center"/>
          </w:tcPr>
          <w:p>
            <w:pPr>
              <w:pStyle w:val="16"/>
            </w:pPr>
            <w:r>
              <w:t>二、公务用车购置及运维费</w:t>
            </w:r>
          </w:p>
        </w:tc>
        <w:tc>
          <w:tcPr>
            <w:tcW w:w="2382"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4</w:t>
            </w:r>
          </w:p>
        </w:tc>
        <w:tc>
          <w:tcPr>
            <w:tcW w:w="3798" w:type="dxa"/>
            <w:vAlign w:val="center"/>
          </w:tcPr>
          <w:p>
            <w:pPr>
              <w:pStyle w:val="16"/>
              <w:rPr>
                <w:b/>
                <w:bCs/>
              </w:rPr>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5</w:t>
            </w:r>
          </w:p>
        </w:tc>
        <w:tc>
          <w:tcPr>
            <w:tcW w:w="3798" w:type="dxa"/>
            <w:vAlign w:val="center"/>
          </w:tcPr>
          <w:p>
            <w:pPr>
              <w:pStyle w:val="16"/>
              <w:rPr>
                <w:b/>
                <w:bCs/>
              </w:rPr>
            </w:pPr>
            <w:r>
              <w:t xml:space="preserve">          公务用车运行维护费</w:t>
            </w:r>
          </w:p>
        </w:tc>
        <w:tc>
          <w:tcPr>
            <w:tcW w:w="2382" w:type="dxa"/>
            <w:vAlign w:val="center"/>
          </w:tcPr>
          <w:p>
            <w:pPr>
              <w:pStyle w:val="15"/>
            </w:pPr>
            <w:r>
              <w:t>3.10</w:t>
            </w:r>
          </w:p>
        </w:tc>
        <w:tc>
          <w:tcPr>
            <w:tcW w:w="2381" w:type="dxa"/>
            <w:vAlign w:val="center"/>
          </w:tcPr>
          <w:p>
            <w:pPr>
              <w:pStyle w:val="15"/>
            </w:pPr>
            <w:r>
              <w:t>3.10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6</w:t>
            </w:r>
          </w:p>
        </w:tc>
        <w:tc>
          <w:tcPr>
            <w:tcW w:w="3798" w:type="dxa"/>
            <w:vAlign w:val="center"/>
          </w:tcPr>
          <w:p>
            <w:pPr>
              <w:pStyle w:val="16"/>
            </w:pPr>
            <w:r>
              <w:t>三、公务接待费</w:t>
            </w:r>
          </w:p>
        </w:tc>
        <w:tc>
          <w:tcPr>
            <w:tcW w:w="2382" w:type="dxa"/>
            <w:vAlign w:val="center"/>
          </w:tcPr>
          <w:p>
            <w:pPr>
              <w:pStyle w:val="15"/>
            </w:pPr>
            <w:r>
              <w:rPr>
                <w:rFonts w:hint="eastAsia"/>
                <w:lang w:val="en-US" w:eastAsia="zh-CN"/>
              </w:rPr>
              <w:t>0.75</w:t>
            </w:r>
          </w:p>
        </w:tc>
        <w:tc>
          <w:tcPr>
            <w:tcW w:w="2381" w:type="dxa"/>
            <w:vAlign w:val="center"/>
          </w:tcPr>
          <w:p>
            <w:pPr>
              <w:pStyle w:val="15"/>
            </w:pPr>
            <w:r>
              <w:rPr>
                <w:rFonts w:hint="eastAsia"/>
                <w:lang w:val="en-US" w:eastAsia="zh-CN"/>
              </w:rPr>
              <w:t>0.75</w:t>
            </w:r>
          </w:p>
        </w:tc>
        <w:tc>
          <w:tcPr>
            <w:tcW w:w="2381" w:type="dxa"/>
            <w:vAlign w:val="center"/>
          </w:tcPr>
          <w:p>
            <w:pPr>
              <w:pStyle w:val="15"/>
            </w:pPr>
          </w:p>
        </w:tc>
        <w:tc>
          <w:tcPr>
            <w:tcW w:w="2381"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共青团张家口市委员会2022年部门预算信息公开情况说明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共青团张家口市委员会202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按照《预算法》、《地方预决算公开操作规程》和《关于进一步推进预算公开工作的实施意见》规定，现将共青团张家口市委员会202</w:t>
      </w: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1）领导全市共青团工作。围绕市委工作中心和团省委工作要求，提出每个时期工作的指导思想和基本任务，制定全市团的工作计划，并组织实施；负责指导、检查、督促各县区和市直单位团的工作；按照《团章》规定，负责筹备召开全市团的代表大会和全委会。</w:t>
      </w:r>
    </w:p>
    <w:p>
      <w:pPr>
        <w:pStyle w:val="21"/>
      </w:pPr>
      <w:r>
        <w:t>（2）调查了解青年思想动态和青年工作情况，及时向市委和上级团委制定有关青年工作的方针、政策提供依据。认真研究探索社会主义市场经济条件下青年工作的规律和方法及时提出解决问题的意见和措施。</w:t>
      </w:r>
    </w:p>
    <w:p>
      <w:pPr>
        <w:pStyle w:val="21"/>
      </w:pPr>
      <w:r>
        <w:t xml:space="preserve">（3）加强团的思想政治工作。组织团员青年认真学习政治理论和建设有中国特色的社会主义理论，广泛开展党的基本路线教育，国情教育及民主法制教育。加强青年文化建设，推进青年志愿者行动。  </w:t>
      </w:r>
    </w:p>
    <w:p>
      <w:pPr>
        <w:pStyle w:val="21"/>
      </w:pPr>
      <w:r>
        <w:t>（4）加强团的组织建设。加强团的基层组织和团员队伍建设，做好“双推”工作；加强团干部队伍和团各级领导班子建设，深化团干部制度改革。协助党委组织部门做好团干部转业输送工作。</w:t>
      </w:r>
    </w:p>
    <w:p>
      <w:pPr>
        <w:pStyle w:val="21"/>
      </w:pPr>
      <w:r>
        <w:t>（5）发挥青年在经济建设中的生力军和突击队作用。组织引导青年积极投身改革开放、经济建设和建立社会主义市场经济体制的实践，为实现“富民强县兴市奔小康”的奋斗目标建功立业。</w:t>
      </w:r>
    </w:p>
    <w:p>
      <w:pPr>
        <w:pStyle w:val="21"/>
      </w:pPr>
      <w:r>
        <w:t>（6）开展青少年维权和社会监督工作。认真贯彻实施《中华人民共和国未成年人保护法》，维护青少年的合法权益。关心青少年的工作、学习和生活，及时向市委、市政府反映青少年的意见和要求；广泛开展社会监督，同各种危害社会和青少年合法权益的行为作斗争，为青少年的健康成长创造良好的环境。</w:t>
      </w:r>
    </w:p>
    <w:p>
      <w:pPr>
        <w:pStyle w:val="21"/>
      </w:pPr>
      <w:r>
        <w:t>（7）组织实施希望工程。资助因家庭贫困失学或面临失学儿童完成学业，做好希望工程实施中的宣传、筹资、救助、管理、教育等具体工作。吸引外地资金，建设希望小学，改善贫困地方的办学条件。</w:t>
      </w:r>
    </w:p>
    <w:p>
      <w:pPr>
        <w:pStyle w:val="21"/>
      </w:pPr>
      <w:r>
        <w:t>（8）做好青年统战工作，广泛团结全市各界青年在两个文明建设中更好地发挥作用。</w:t>
      </w:r>
    </w:p>
    <w:p>
      <w:pPr>
        <w:pStyle w:val="21"/>
      </w:pPr>
      <w:r>
        <w:t>（9）抓好对全市团办实体的指导和管理。</w:t>
      </w:r>
    </w:p>
    <w:p>
      <w:pPr>
        <w:pStyle w:val="21"/>
      </w:pPr>
      <w:r>
        <w:t>（10）选树、命名、表彰在两个文明建设中做出突出成绩的先进青年群体和个人。</w:t>
      </w:r>
    </w:p>
    <w:p>
      <w:pPr>
        <w:pStyle w:val="21"/>
      </w:pPr>
      <w:r>
        <w:t>（11）帮助和指导市青年联合会和市学生联合会开展工作，负责市青联、市学联秘书处日常工作。</w:t>
      </w:r>
    </w:p>
    <w:p>
      <w:pPr>
        <w:pStyle w:val="21"/>
      </w:pPr>
      <w:r>
        <w:t xml:space="preserve">（12）受党的委托，领导全市少先队工作，负责市少先队工作委员会的日常工作。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共青团张家口市委员会本级</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张家口市青少年宫</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张家口市希望工程办公室</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部门预算的编制实行综合预算管理，即全部收入和支出都反映在预算中。共青团张家口市委员会机关及所属事业单位的收支包含在部门预算中。</w:t>
      </w:r>
    </w:p>
    <w:p>
      <w:pPr>
        <w:pStyle w:val="22"/>
      </w:pPr>
      <w:r>
        <w:t>1、收入说明</w:t>
      </w:r>
    </w:p>
    <w:p>
      <w:pPr>
        <w:pStyle w:val="22"/>
      </w:pPr>
      <w:r>
        <w:t>反映本部门当年全部收入。20</w:t>
      </w:r>
      <w:r>
        <w:rPr>
          <w:rFonts w:hint="eastAsia"/>
          <w:lang w:val="en-US" w:eastAsia="zh-CN"/>
        </w:rPr>
        <w:t>23</w:t>
      </w:r>
      <w:r>
        <w:t>年预算收入</w:t>
      </w:r>
      <w:r>
        <w:rPr>
          <w:rFonts w:hint="eastAsia"/>
          <w:lang w:val="en-US" w:eastAsia="zh-CN"/>
        </w:rPr>
        <w:t>667.57</w:t>
      </w:r>
      <w:r>
        <w:t>万元，其中：一般公共预算收入</w:t>
      </w:r>
      <w:r>
        <w:rPr>
          <w:rFonts w:hint="eastAsia"/>
          <w:lang w:val="en-US" w:eastAsia="zh-CN"/>
        </w:rPr>
        <w:t>665.27</w:t>
      </w:r>
      <w:r>
        <w:t>万元，基金预算收入0万元，</w:t>
      </w:r>
      <w:r>
        <w:rPr>
          <w:rFonts w:hint="eastAsia"/>
          <w:lang w:val="en-US" w:eastAsia="zh-CN"/>
        </w:rPr>
        <w:t>国有资本预算收入0万元，</w:t>
      </w:r>
      <w:r>
        <w:t>财政专户核拨收入0万元，单位资金收入0万元，上年结转结余</w:t>
      </w:r>
      <w:r>
        <w:rPr>
          <w:rFonts w:hint="eastAsia"/>
          <w:lang w:val="en-US" w:eastAsia="zh-CN"/>
        </w:rPr>
        <w:t>2.3</w:t>
      </w:r>
      <w:r>
        <w:t>万元。</w:t>
      </w:r>
    </w:p>
    <w:p>
      <w:pPr>
        <w:pStyle w:val="22"/>
      </w:pPr>
      <w:r>
        <w:t>2、支出说明</w:t>
      </w:r>
    </w:p>
    <w:p>
      <w:pPr>
        <w:pStyle w:val="30"/>
      </w:pPr>
      <w:r>
        <w:t>收支预算总表支出栏、基本支出表、项目支出表按经济分类和支出功能分类科目编制，反映</w:t>
      </w:r>
      <w:r>
        <w:rPr>
          <w:rFonts w:hint="eastAsia"/>
          <w:lang w:val="en-US" w:eastAsia="zh-CN"/>
        </w:rPr>
        <w:t>共青团张家口市委</w:t>
      </w:r>
      <w:r>
        <w:t>年度部门预算中支出预算的总体情况。20</w:t>
      </w:r>
      <w:r>
        <w:rPr>
          <w:rFonts w:hint="eastAsia"/>
          <w:lang w:val="en-US" w:eastAsia="zh-CN"/>
        </w:rPr>
        <w:t>23</w:t>
      </w:r>
      <w:r>
        <w:t>年支出预算</w:t>
      </w:r>
      <w:r>
        <w:rPr>
          <w:rFonts w:hint="eastAsia"/>
          <w:lang w:val="en-US" w:eastAsia="zh-CN"/>
        </w:rPr>
        <w:t>667.57</w:t>
      </w:r>
      <w:r>
        <w:t>万元，其中基本支出</w:t>
      </w:r>
      <w:r>
        <w:rPr>
          <w:rFonts w:hint="eastAsia"/>
          <w:lang w:val="en-US" w:eastAsia="zh-CN"/>
        </w:rPr>
        <w:t>608.37</w:t>
      </w:r>
      <w:r>
        <w:t>万元，包括人员经费</w:t>
      </w:r>
      <w:r>
        <w:rPr>
          <w:rFonts w:hint="eastAsia"/>
          <w:lang w:val="en-US" w:eastAsia="zh-CN"/>
        </w:rPr>
        <w:t>538.48</w:t>
      </w:r>
      <w:r>
        <w:t>万元和日常公用经费</w:t>
      </w:r>
      <w:r>
        <w:rPr>
          <w:rFonts w:hint="eastAsia"/>
          <w:lang w:val="en-US" w:eastAsia="zh-CN"/>
        </w:rPr>
        <w:t>69.88</w:t>
      </w:r>
      <w:r>
        <w:t>万元；项目支出</w:t>
      </w:r>
      <w:r>
        <w:rPr>
          <w:rFonts w:hint="eastAsia"/>
          <w:lang w:val="en-US" w:eastAsia="zh-CN"/>
        </w:rPr>
        <w:t>59.2</w:t>
      </w:r>
      <w:r>
        <w:t>万元，主要为落实河北省中长期青年发展规划工作经费、志愿服务工作经费、预防青少年违法犯罪专项经费</w:t>
      </w:r>
      <w:r>
        <w:rPr>
          <w:rFonts w:hint="eastAsia"/>
          <w:lang w:eastAsia="zh-CN"/>
        </w:rPr>
        <w:t>、</w:t>
      </w:r>
      <w:r>
        <w:rPr>
          <w:rFonts w:hint="eastAsia"/>
          <w:lang w:val="en-US" w:eastAsia="zh-CN"/>
        </w:rPr>
        <w:t>提前下达2022年中央就业补助资金预算（第二季度见习岗）、乡村振兴工作队工作经费、乡村振兴工作队工作经费第二次</w:t>
      </w:r>
      <w:r>
        <w:t>。</w:t>
      </w:r>
    </w:p>
    <w:p>
      <w:pPr>
        <w:pStyle w:val="22"/>
      </w:pPr>
      <w:r>
        <w:t>3、比上年增减情况</w:t>
      </w:r>
    </w:p>
    <w:p>
      <w:pPr>
        <w:pStyle w:val="22"/>
        <w:rPr>
          <w:b/>
          <w:bCs/>
        </w:rPr>
      </w:pPr>
      <w:r>
        <w:t>20</w:t>
      </w:r>
      <w:r>
        <w:rPr>
          <w:rFonts w:hint="eastAsia"/>
          <w:lang w:val="en-US" w:eastAsia="zh-CN"/>
        </w:rPr>
        <w:t>23</w:t>
      </w:r>
      <w:r>
        <w:t>年预算收支安排</w:t>
      </w:r>
      <w:r>
        <w:rPr>
          <w:rFonts w:hint="eastAsia"/>
          <w:lang w:val="en-US" w:eastAsia="zh-CN"/>
        </w:rPr>
        <w:t>667.57</w:t>
      </w:r>
      <w:r>
        <w:t>万元，较20</w:t>
      </w:r>
      <w:r>
        <w:rPr>
          <w:rFonts w:hint="eastAsia"/>
          <w:lang w:val="en-US" w:eastAsia="zh-CN"/>
        </w:rPr>
        <w:t>22</w:t>
      </w:r>
      <w:r>
        <w:t>年预算增加</w:t>
      </w:r>
      <w:r>
        <w:rPr>
          <w:rFonts w:hint="eastAsia"/>
          <w:lang w:val="en-US" w:eastAsia="zh-CN"/>
        </w:rPr>
        <w:t>198.14</w:t>
      </w:r>
      <w:r>
        <w:t>元。其中：基本支出增加</w:t>
      </w:r>
      <w:r>
        <w:rPr>
          <w:rFonts w:hint="eastAsia"/>
          <w:lang w:val="en-US" w:eastAsia="zh-CN"/>
        </w:rPr>
        <w:t>210.06</w:t>
      </w:r>
      <w:r>
        <w:t>万元，主要为增加人员经费支出；项目支出减少</w:t>
      </w:r>
      <w:r>
        <w:rPr>
          <w:rFonts w:hint="eastAsia"/>
          <w:lang w:val="en-US" w:eastAsia="zh-CN"/>
        </w:rPr>
        <w:t>11.92</w:t>
      </w:r>
      <w:r>
        <w:t>万元，主要原因是压减经费20%。</w:t>
      </w:r>
    </w:p>
    <w:p>
      <w:pPr>
        <w:spacing w:before="10" w:after="10" w:line="360" w:lineRule="auto"/>
        <w:ind w:firstLine="640" w:firstLineChars="20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t>20</w:t>
      </w:r>
      <w:r>
        <w:rPr>
          <w:rFonts w:hint="eastAsia"/>
          <w:lang w:val="en-US" w:eastAsia="zh-CN"/>
        </w:rPr>
        <w:t>23</w:t>
      </w:r>
      <w:r>
        <w:t>年，我部门机关行经费共计安排</w:t>
      </w:r>
      <w:r>
        <w:rPr>
          <w:rFonts w:hint="eastAsia"/>
          <w:lang w:val="en-US" w:eastAsia="zh-CN"/>
        </w:rPr>
        <w:t>69.88</w:t>
      </w:r>
      <w:r>
        <w:t>万元，主要用于办公费、电费、邮电费、物业管理费、印刷费等日常运行支出。</w:t>
      </w:r>
    </w:p>
    <w:p>
      <w:pPr>
        <w:pStyle w:val="23"/>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w:t>
      </w:r>
      <w:r>
        <w:rPr>
          <w:rFonts w:hint="eastAsia"/>
          <w:lang w:val="en-US" w:eastAsia="zh-CN"/>
        </w:rPr>
        <w:t>3</w:t>
      </w:r>
      <w:r>
        <w:t>年，我部门财政款“三公”经费预算安排3.</w:t>
      </w:r>
      <w:r>
        <w:rPr>
          <w:rFonts w:hint="eastAsia"/>
          <w:lang w:val="en-US" w:eastAsia="zh-CN"/>
        </w:rPr>
        <w:t>8</w:t>
      </w:r>
      <w:r>
        <w:t>5万元，其中：因公出国（境）费0万元；公务用车购置和及运行维护费3.1万元（其中：公务用车购置费0万元，公务用车运行维护费3.1万元）；公务接待费0.</w:t>
      </w:r>
      <w:r>
        <w:rPr>
          <w:rFonts w:hint="eastAsia"/>
          <w:lang w:val="en-US" w:eastAsia="zh-CN"/>
        </w:rPr>
        <w:t>7</w:t>
      </w:r>
      <w:r>
        <w:t>5万元，。与202</w:t>
      </w:r>
      <w:r>
        <w:rPr>
          <w:rFonts w:hint="eastAsia"/>
          <w:lang w:val="en-US" w:eastAsia="zh-CN"/>
        </w:rPr>
        <w:t>2</w:t>
      </w:r>
      <w:r>
        <w:t>年相比</w:t>
      </w:r>
      <w:r>
        <w:rPr>
          <w:rFonts w:hint="eastAsia"/>
          <w:lang w:eastAsia="zh-CN"/>
        </w:rPr>
        <w:t>增加</w:t>
      </w:r>
      <w:r>
        <w:t>0.</w:t>
      </w:r>
      <w:r>
        <w:rPr>
          <w:rFonts w:hint="eastAsia"/>
          <w:lang w:val="en-US" w:eastAsia="zh-CN"/>
        </w:rPr>
        <w:t>1</w:t>
      </w:r>
      <w:r>
        <w:t>万元，其中，因公出国（境）费与上年持平，无增减变化，公务运行维护费与上年持平，无增减变化，公务接待费增加0.1万元，增加的主要原因是202</w:t>
      </w:r>
      <w:r>
        <w:rPr>
          <w:rFonts w:hint="eastAsia"/>
          <w:lang w:val="en-US" w:eastAsia="zh-CN"/>
        </w:rPr>
        <w:t>3</w:t>
      </w:r>
      <w:r>
        <w:t>年工作任务增加，相应的接待工作增多。</w:t>
      </w:r>
    </w:p>
    <w:p>
      <w:pPr>
        <w:spacing w:before="10" w:after="10" w:line="360" w:lineRule="auto"/>
        <w:jc w:val="left"/>
        <w:outlineLvl w:val="2"/>
        <w:rPr>
          <w:rFonts w:ascii="黑体" w:hAnsi="黑体" w:eastAsia="黑体" w:cs="黑体"/>
          <w:color w:val="000000"/>
          <w:sz w:val="21"/>
          <w:szCs w:val="21"/>
        </w:rPr>
      </w:pPr>
      <w:bookmarkStart w:id="13" w:name="_Toc_3_3_0000000014"/>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keepNext w:val="0"/>
        <w:keepLines w:val="0"/>
        <w:pageBreakBefore w:val="0"/>
        <w:kinsoku/>
        <w:overflowPunct/>
        <w:topLinePunct w:val="0"/>
        <w:bidi w:val="0"/>
        <w:spacing w:beforeAutospacing="0" w:afterAutospacing="0" w:line="560" w:lineRule="exact"/>
        <w:ind w:firstLine="640"/>
        <w:jc w:val="both"/>
        <w:rPr>
          <w:rFonts w:hint="eastAsia" w:ascii="仿宋_GB2312" w:hAnsi="仿宋_GB2312" w:eastAsia="仿宋_GB2312"/>
          <w:color w:val="000000"/>
          <w:kern w:val="0"/>
          <w:sz w:val="28"/>
          <w:szCs w:val="28"/>
          <w:highlight w:val="none"/>
        </w:rPr>
      </w:pPr>
      <w:r>
        <w:rPr>
          <w:rFonts w:hint="eastAsia" w:ascii="仿宋_GB2312" w:hAnsi="仿宋_GB2312" w:eastAsia="仿宋_GB2312"/>
          <w:color w:val="000000"/>
          <w:kern w:val="0"/>
          <w:sz w:val="28"/>
          <w:szCs w:val="28"/>
          <w:highlight w:val="none"/>
        </w:rPr>
        <w:t>202</w:t>
      </w:r>
      <w:r>
        <w:rPr>
          <w:rFonts w:hint="eastAsia" w:ascii="仿宋_GB2312" w:hAnsi="仿宋_GB2312" w:eastAsia="仿宋_GB2312"/>
          <w:color w:val="000000"/>
          <w:kern w:val="0"/>
          <w:sz w:val="28"/>
          <w:szCs w:val="28"/>
          <w:highlight w:val="none"/>
          <w:lang w:val="en-US" w:eastAsia="zh-CN"/>
        </w:rPr>
        <w:t>3年张家口共青团工作的总体思路是</w:t>
      </w:r>
      <w:r>
        <w:rPr>
          <w:rFonts w:hint="eastAsia" w:ascii="仿宋_GB2312" w:hAnsi="仿宋_GB2312" w:eastAsia="仿宋_GB2312"/>
          <w:color w:val="000000"/>
          <w:kern w:val="0"/>
          <w:sz w:val="28"/>
          <w:szCs w:val="28"/>
          <w:highlight w:val="none"/>
        </w:rPr>
        <w:t>：以习近平新时代中国特色社会主义思想为指导</w:t>
      </w:r>
      <w:r>
        <w:rPr>
          <w:rFonts w:hint="eastAsia" w:ascii="仿宋_GB2312" w:hAnsi="仿宋_GB2312" w:eastAsia="仿宋_GB2312"/>
          <w:color w:val="000000"/>
          <w:kern w:val="0"/>
          <w:sz w:val="28"/>
          <w:szCs w:val="28"/>
          <w:highlight w:val="none"/>
          <w:lang w:eastAsia="zh-CN"/>
        </w:rPr>
        <w:t>，</w:t>
      </w:r>
      <w:r>
        <w:rPr>
          <w:rFonts w:hint="eastAsia" w:ascii="仿宋_GB2312" w:hAnsi="仿宋_GB2312" w:eastAsia="仿宋_GB2312"/>
          <w:color w:val="000000"/>
          <w:kern w:val="0"/>
          <w:sz w:val="28"/>
          <w:szCs w:val="28"/>
          <w:highlight w:val="none"/>
        </w:rPr>
        <w:t>深入贯彻落实习近平总书记关于青年工作的重要思想，</w:t>
      </w:r>
      <w:r>
        <w:rPr>
          <w:rFonts w:hint="eastAsia" w:ascii="仿宋_GB2312" w:hAnsi="仿宋_GB2312" w:eastAsia="仿宋_GB2312"/>
          <w:color w:val="000000"/>
          <w:kern w:val="0"/>
          <w:sz w:val="28"/>
          <w:szCs w:val="28"/>
          <w:highlight w:val="none"/>
          <w:lang w:eastAsia="zh-CN"/>
        </w:rPr>
        <w:t>紧紧围绕学习宣传贯彻党的二十大精神主题主线，认真贯</w:t>
      </w:r>
      <w:r>
        <w:rPr>
          <w:rFonts w:hint="eastAsia" w:ascii="仿宋_GB2312" w:hAnsi="仿宋_GB2312" w:eastAsia="仿宋_GB2312"/>
          <w:color w:val="000000"/>
          <w:kern w:val="0"/>
          <w:sz w:val="28"/>
          <w:szCs w:val="28"/>
          <w:highlight w:val="none"/>
          <w:lang w:val="en-US" w:eastAsia="zh-CN"/>
        </w:rPr>
        <w:t>彻省委十届三次全会和市委十二届五次全会精神，</w:t>
      </w:r>
      <w:r>
        <w:rPr>
          <w:rFonts w:hint="eastAsia" w:ascii="仿宋_GB2312" w:hAnsi="仿宋_GB2312" w:eastAsia="仿宋_GB2312"/>
          <w:color w:val="000000"/>
          <w:kern w:val="0"/>
          <w:sz w:val="28"/>
          <w:szCs w:val="28"/>
          <w:highlight w:val="none"/>
          <w:lang w:eastAsia="zh-CN"/>
        </w:rPr>
        <w:t>着力提升团的引领力、组织力、服务力和大局贡献度，组织动员广大团员青年解放思想、奋发进取，</w:t>
      </w:r>
      <w:r>
        <w:rPr>
          <w:rFonts w:hint="eastAsia" w:ascii="仿宋_GB2312" w:hAnsi="仿宋_GB2312" w:eastAsia="仿宋_GB2312"/>
          <w:color w:val="000000"/>
          <w:sz w:val="28"/>
          <w:szCs w:val="28"/>
          <w:highlight w:val="none"/>
          <w:lang w:val="en-US" w:eastAsia="zh-CN"/>
        </w:rPr>
        <w:t>在努力</w:t>
      </w:r>
      <w:r>
        <w:rPr>
          <w:rFonts w:hint="eastAsia" w:ascii="仿宋_GB2312" w:hAnsi="仿宋_GB2312" w:eastAsia="仿宋_GB2312"/>
          <w:b w:val="0"/>
          <w:i w:val="0"/>
          <w:snapToGrid/>
          <w:color w:val="000000"/>
          <w:sz w:val="28"/>
          <w:szCs w:val="28"/>
          <w:highlight w:val="none"/>
          <w:lang w:val="en-US" w:eastAsia="zh-CN"/>
        </w:rPr>
        <w:t>交出高质量发展优异答卷新征程上贡献青春力量</w:t>
      </w:r>
      <w:r>
        <w:rPr>
          <w:rFonts w:hint="eastAsia" w:ascii="仿宋_GB2312" w:hAnsi="仿宋_GB2312" w:eastAsia="仿宋_GB2312"/>
          <w:color w:val="000000"/>
          <w:sz w:val="28"/>
          <w:szCs w:val="28"/>
          <w:highlight w:val="none"/>
          <w:lang w:val="en-US" w:eastAsia="zh-CN"/>
        </w:rPr>
        <w:t>、展现青春风采。</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hint="eastAsia" w:ascii="Times New Roman" w:hAnsi="Times New Roman" w:eastAsia="方正仿宋_GBK" w:cs="Times New Roman"/>
          <w:sz w:val="28"/>
          <w:szCs w:val="28"/>
          <w:lang w:val="en-US" w:eastAsia="zh-CN" w:bidi="ar-SA"/>
        </w:rPr>
      </w:pPr>
      <w:r>
        <w:rPr>
          <w:rFonts w:hint="eastAsia" w:ascii="Times New Roman" w:hAnsi="Times New Roman" w:eastAsia="方正仿宋_GBK" w:cs="Times New Roman"/>
          <w:sz w:val="28"/>
          <w:szCs w:val="28"/>
          <w:lang w:val="en-US" w:eastAsia="zh-CN" w:bidi="ar-SA"/>
        </w:rPr>
        <w:t>一、切实加强青少年思想政治引领，推动学习宣传贯彻党的二十大精神走深走实</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hint="eastAsia" w:ascii="Times New Roman" w:hAnsi="Times New Roman" w:eastAsia="方正仿宋_GBK" w:cs="Times New Roman"/>
          <w:sz w:val="28"/>
          <w:szCs w:val="28"/>
          <w:lang w:val="en-US" w:eastAsia="zh-CN" w:bidi="ar-SA"/>
        </w:rPr>
      </w:pPr>
      <w:r>
        <w:rPr>
          <w:rFonts w:hint="eastAsia" w:ascii="Times New Roman" w:hAnsi="Times New Roman" w:eastAsia="方正仿宋_GBK" w:cs="Times New Roman"/>
          <w:sz w:val="28"/>
          <w:szCs w:val="28"/>
          <w:lang w:val="en-US" w:eastAsia="zh-CN" w:bidi="ar-SA"/>
        </w:rPr>
        <w:t>二、组织动员广大团员青年建功新时代，为推进中国式现代化张家口场景贡献青春力量</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hint="eastAsia" w:ascii="Times New Roman" w:hAnsi="Times New Roman" w:eastAsia="方正仿宋_GBK" w:cs="Times New Roman"/>
          <w:sz w:val="28"/>
          <w:szCs w:val="28"/>
          <w:lang w:val="en-US" w:eastAsia="zh-CN" w:bidi="ar-SA"/>
        </w:rPr>
      </w:pPr>
      <w:r>
        <w:rPr>
          <w:rFonts w:hint="eastAsia" w:ascii="Times New Roman" w:hAnsi="Times New Roman" w:eastAsia="方正仿宋_GBK" w:cs="Times New Roman"/>
          <w:sz w:val="28"/>
          <w:szCs w:val="28"/>
          <w:lang w:val="en-US" w:eastAsia="zh-CN" w:bidi="ar-SA"/>
        </w:rPr>
        <w:t>三、聚焦青年发展所需，热忱服务青少年成长发展</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hint="eastAsia" w:ascii="Times New Roman" w:hAnsi="Times New Roman" w:eastAsia="方正仿宋_GBK" w:cs="Times New Roman"/>
          <w:sz w:val="28"/>
          <w:szCs w:val="28"/>
          <w:lang w:val="en-US" w:eastAsia="zh-CN" w:bidi="ar-SA"/>
        </w:rPr>
      </w:pPr>
      <w:r>
        <w:rPr>
          <w:rFonts w:hint="eastAsia" w:ascii="Times New Roman" w:hAnsi="Times New Roman" w:eastAsia="方正仿宋_GBK" w:cs="Times New Roman"/>
          <w:sz w:val="28"/>
          <w:szCs w:val="28"/>
          <w:lang w:val="en-US" w:eastAsia="zh-CN" w:bidi="ar-SA"/>
        </w:rPr>
        <w:t>四、扎实推进共青团改革纵深发展，不断提升团的组织活力</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sz w:val="28"/>
          <w:szCs w:val="28"/>
        </w:rPr>
      </w:pPr>
      <w:r>
        <w:rPr>
          <w:rFonts w:hint="eastAsia" w:ascii="Times New Roman" w:hAnsi="Times New Roman" w:eastAsia="方正仿宋_GBK" w:cs="Times New Roman"/>
          <w:sz w:val="28"/>
          <w:szCs w:val="28"/>
          <w:lang w:val="en-US" w:eastAsia="zh-CN" w:bidi="ar-SA"/>
        </w:rPr>
        <w:t>（二）分项绩效目标</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hint="eastAsia" w:ascii="Times New Roman" w:hAnsi="Times New Roman" w:eastAsia="方正仿宋_GBK" w:cs="Times New Roman"/>
          <w:sz w:val="28"/>
          <w:szCs w:val="24"/>
          <w:lang w:val="en-US" w:eastAsia="zh-CN" w:bidi="ar-SA"/>
        </w:rPr>
      </w:pPr>
      <w:r>
        <w:rPr>
          <w:rFonts w:ascii="Times New Roman" w:hAnsi="Times New Roman" w:eastAsia="方正仿宋_GBK" w:cs="Times New Roman"/>
          <w:sz w:val="28"/>
          <w:szCs w:val="24"/>
          <w:lang w:val="en-US" w:eastAsia="uk-UA" w:bidi="ar-SA"/>
        </w:rPr>
        <w:t>1、</w:t>
      </w:r>
      <w:r>
        <w:rPr>
          <w:rFonts w:hint="eastAsia" w:ascii="Times New Roman" w:hAnsi="Times New Roman" w:eastAsia="方正仿宋_GBK" w:cs="Times New Roman"/>
          <w:sz w:val="28"/>
          <w:szCs w:val="24"/>
          <w:lang w:val="en-US" w:eastAsia="zh-CN" w:bidi="ar-SA"/>
        </w:rPr>
        <w:t>切实加强青少年思想政治引领，推动学习宣传贯彻党的二十大精神走深走实</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w:t>
      </w:r>
      <w:r>
        <w:rPr>
          <w:rFonts w:hint="eastAsia" w:ascii="Times New Roman" w:hAnsi="Times New Roman" w:eastAsia="方正仿宋_GBK" w:cs="Times New Roman"/>
          <w:sz w:val="28"/>
          <w:szCs w:val="24"/>
          <w:lang w:val="en-US" w:eastAsia="zh-CN" w:bidi="ar-SA"/>
        </w:rPr>
        <w:t>高举习近平新时代中国特色社会主义思想伟大旗帜，坚持不懈用中国化时代化的马克思主义武装青年，用社会主义核心价值观滋养青年，引导广大团员青年、少先队员始终坚定理想信念，听党话、跟党走</w:t>
      </w:r>
      <w:r>
        <w:rPr>
          <w:rFonts w:ascii="Times New Roman" w:hAnsi="Times New Roman" w:eastAsia="方正仿宋_GBK" w:cs="Times New Roman"/>
          <w:sz w:val="28"/>
          <w:szCs w:val="24"/>
          <w:lang w:val="en-US" w:eastAsia="uk-UA" w:bidi="ar-SA"/>
        </w:rPr>
        <w:t>。</w:t>
      </w:r>
    </w:p>
    <w:p>
      <w:pPr>
        <w:pStyle w:val="26"/>
        <w:rPr>
          <w:rFonts w:hint="eastAsia" w:ascii="Times New Roman" w:hAnsi="Times New Roman" w:eastAsia="方正仿宋_GBK" w:cs="Times New Roman"/>
          <w:sz w:val="28"/>
          <w:szCs w:val="24"/>
          <w:lang w:val="en-US" w:eastAsia="zh-CN" w:bidi="ar-SA"/>
        </w:rPr>
      </w:pPr>
      <w:r>
        <w:rPr>
          <w:rFonts w:ascii="Times New Roman" w:hAnsi="Times New Roman" w:eastAsia="方正仿宋_GBK" w:cs="Times New Roman"/>
          <w:sz w:val="28"/>
          <w:szCs w:val="24"/>
          <w:lang w:val="en-US" w:eastAsia="uk-UA" w:bidi="ar-SA"/>
        </w:rPr>
        <w:t>绩效指标：</w:t>
      </w:r>
      <w:r>
        <w:rPr>
          <w:rFonts w:hint="eastAsia" w:ascii="Times New Roman" w:hAnsi="Times New Roman" w:eastAsia="方正仿宋_GBK" w:cs="Times New Roman"/>
          <w:sz w:val="28"/>
          <w:szCs w:val="24"/>
          <w:lang w:val="en-US" w:eastAsia="zh-CN" w:bidi="ar-SA"/>
        </w:rPr>
        <w:t>持续深化学习宣传贯彻党的二十大精神、着力提升思想政治引领实效、培育塑造青少年精神素养。</w:t>
      </w:r>
    </w:p>
    <w:p>
      <w:pPr>
        <w:keepNext w:val="0"/>
        <w:keepLines w:val="0"/>
        <w:pageBreakBefore w:val="0"/>
        <w:suppressLineNumbers w:val="0"/>
        <w:kinsoku/>
        <w:overflowPunct/>
        <w:topLinePunct w:val="0"/>
        <w:bidi w:val="0"/>
        <w:spacing w:beforeAutospacing="0" w:afterAutospacing="0" w:line="560" w:lineRule="exact"/>
        <w:ind w:firstLine="560" w:firstLineChars="200"/>
        <w:jc w:val="both"/>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组织动员广大团员青年建功新时代，为推进中国式现代化张家口场景贡献青春力量</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w:t>
      </w:r>
      <w:r>
        <w:rPr>
          <w:rFonts w:hint="eastAsia" w:ascii="Times New Roman" w:hAnsi="Times New Roman" w:eastAsia="方正仿宋_GBK" w:cs="Times New Roman"/>
          <w:sz w:val="28"/>
          <w:szCs w:val="24"/>
          <w:lang w:val="en-US" w:eastAsia="zh-CN" w:bidi="ar-SA"/>
        </w:rPr>
        <w:t>聚焦围绕中心、服务大局这一工作主线，坚持党有号召、团有行动，紧跟市委工作步伐，找准工作的切入点、结合点、着力点，团结带领广大团员青年积极投身全市各项重点工作。</w:t>
      </w:r>
    </w:p>
    <w:p>
      <w:pPr>
        <w:pStyle w:val="26"/>
        <w:rPr>
          <w:rFonts w:hint="eastAsia" w:ascii="Times New Roman" w:hAnsi="Times New Roman" w:eastAsia="方正仿宋_GBK" w:cs="Times New Roman"/>
          <w:sz w:val="28"/>
          <w:szCs w:val="24"/>
          <w:lang w:val="en-US" w:eastAsia="zh-CN" w:bidi="ar-SA"/>
        </w:rPr>
      </w:pPr>
      <w:r>
        <w:rPr>
          <w:rFonts w:ascii="Times New Roman" w:hAnsi="Times New Roman" w:eastAsia="方正仿宋_GBK" w:cs="Times New Roman"/>
          <w:sz w:val="28"/>
          <w:szCs w:val="24"/>
          <w:lang w:val="en-US" w:eastAsia="uk-UA" w:bidi="ar-SA"/>
        </w:rPr>
        <w:t>绩效指标：</w:t>
      </w:r>
      <w:r>
        <w:rPr>
          <w:rFonts w:hint="eastAsia" w:ascii="Times New Roman" w:hAnsi="Times New Roman" w:eastAsia="方正仿宋_GBK" w:cs="Times New Roman"/>
          <w:sz w:val="28"/>
          <w:szCs w:val="24"/>
          <w:lang w:val="en-US" w:eastAsia="zh-CN" w:bidi="ar-SA"/>
        </w:rPr>
        <w:t>投身国家重大战略落地实施、投身优化营商环境、投身乡村振兴战略实施、投身文明城市创建工作。</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3、</w:t>
      </w:r>
      <w:r>
        <w:rPr>
          <w:rFonts w:hint="eastAsia" w:ascii="Times New Roman" w:hAnsi="Times New Roman" w:eastAsia="方正仿宋_GBK" w:cs="Times New Roman"/>
          <w:sz w:val="28"/>
          <w:szCs w:val="24"/>
          <w:lang w:val="en-US" w:eastAsia="zh-CN" w:bidi="ar-SA"/>
        </w:rPr>
        <w:t>聚焦青年发展所需，热忱服务青少年成长发展</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w:t>
      </w:r>
      <w:r>
        <w:rPr>
          <w:rFonts w:hint="eastAsia" w:ascii="Times New Roman" w:hAnsi="Times New Roman" w:eastAsia="方正仿宋_GBK" w:cs="Times New Roman"/>
          <w:sz w:val="28"/>
          <w:szCs w:val="24"/>
          <w:lang w:val="en-US" w:eastAsia="zh-CN" w:bidi="ar-SA"/>
        </w:rPr>
        <w:t>聚焦青年高质量发展主题，坚持青年主体地位，践行党管青年原则和青年优先发展理念，千方百计为青年办实事、解难事，主动想青年之所想、急青年之所急，把党对青年一代的关心实实在在地传递给青年，让广大青年真切感受到党的关爱就在身边、关怀就在眼前。</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w:t>
      </w:r>
      <w:r>
        <w:rPr>
          <w:rFonts w:hint="eastAsia" w:ascii="Times New Roman" w:hAnsi="Times New Roman" w:eastAsia="方正仿宋_GBK" w:cs="Times New Roman"/>
          <w:sz w:val="28"/>
          <w:szCs w:val="24"/>
          <w:lang w:val="en-US" w:eastAsia="zh-CN" w:bidi="ar-SA"/>
        </w:rPr>
        <w:t>推动省市青年发展规划落地落实、紧贴青年普遍需求，有力有序推动惠青政策出台全力维护青年成长权益，为青年发展提供优渥环境。</w:t>
      </w:r>
      <w:r>
        <w:rPr>
          <w:rFonts w:ascii="Times New Roman" w:hAnsi="Times New Roman" w:eastAsia="方正仿宋_GBK" w:cs="Times New Roman"/>
          <w:sz w:val="28"/>
          <w:szCs w:val="24"/>
          <w:lang w:val="en-US" w:eastAsia="uk-UA" w:bidi="ar-SA"/>
        </w:rPr>
        <w:t xml:space="preserve">       </w:t>
      </w:r>
    </w:p>
    <w:p>
      <w:pPr>
        <w:pStyle w:val="26"/>
        <w:numPr>
          <w:ilvl w:val="0"/>
          <w:numId w:val="1"/>
        </w:numPr>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扎实推进共青团改革纵深发展，不断提升团的组织活力</w:t>
      </w:r>
    </w:p>
    <w:p>
      <w:pPr>
        <w:pStyle w:val="26"/>
        <w:numPr>
          <w:ilvl w:val="0"/>
          <w:numId w:val="0"/>
        </w:numPr>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w:t>
      </w:r>
      <w:r>
        <w:rPr>
          <w:rFonts w:hint="eastAsia" w:ascii="Times New Roman" w:hAnsi="Times New Roman" w:eastAsia="方正仿宋_GBK" w:cs="Times New Roman"/>
          <w:sz w:val="28"/>
          <w:szCs w:val="24"/>
          <w:lang w:val="en-US" w:eastAsia="zh-CN" w:bidi="ar-SA"/>
        </w:rPr>
        <w:t>坚持目标导向、问题导向、效果导向相统一，把强基层、增活力作为改革的攻坚点，扎实落实青年组织改革任务，切实增强共青团系统性、整体性、协调性。</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w:t>
      </w:r>
      <w:r>
        <w:rPr>
          <w:rFonts w:hint="eastAsia" w:ascii="Times New Roman" w:hAnsi="Times New Roman" w:eastAsia="方正仿宋_GBK" w:cs="Times New Roman"/>
          <w:sz w:val="28"/>
          <w:szCs w:val="24"/>
          <w:lang w:val="en-US" w:eastAsia="zh-CN" w:bidi="ar-SA"/>
        </w:rPr>
        <w:t>从严抓好干部队伍管理、大力夯实团的基层基础、不断强化团员队伍建设着力深化青联、学联、少先队改革。</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1、加强组织领导。为全面推进预算绩效管理工作，成立由主要领导任组长的预算绩效工作领导小组，明确责任主体和内部绩效目标设置、监控、评价和审核的责任分工，细化工作方案，形成“一把手”亲自抓，分管副主席具体抓的工作格局，全面落实各项绩效管改革举措，将事前评估、目标管理、运行监控、绩效评价、结果应用有效融入预算管理的全过程。各项目承办部门围绕年度总体绩效目标和分类绩效目标，分工协作、密切配合，确保各项工作按期完成。</w:t>
      </w:r>
    </w:p>
    <w:p>
      <w:pPr>
        <w:pStyle w:val="27"/>
      </w:pPr>
      <w:r>
        <w:t>2、完善制度建设。集中组织财务科和各业务科室开展对省委省政府《关于全面实施预算绩效管理的实施意见》以及市财政局《张家口市级部门预算绩效目标设定规范》等政策性文件的学习，确保领会精神实质，严格审批程序，加强固定资产登记、使用和报废处置管理，做到支出合理，物尽其用，为全年预算绩效目标的实现奠定制度基础；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t>3、规范财务管理。按照“谁花钱、谁负责，谁牵头、谁主责”的原则，明确机关各业务部室的预算绩效管理职责。充分调动业务部室的积极性和主动性，由项目单位负责制定分管项目的内容、绩效目标和评价指标等参数，动态收集评估数据信息，开展预算绩效中期评估、后期评价以及整改落实等措施。形成财务部门牵头、资金使用单位具体实施、审计纪检部门参与监督，齐抓共管、多方联动的良好工作局面，使财务工作与业务工作紧密衔接，推动预算绩效管理常态化、制度化、规范化。</w:t>
      </w:r>
    </w:p>
    <w:p>
      <w:pPr>
        <w:pStyle w:val="27"/>
      </w:pPr>
      <w:r>
        <w:t>4、强化预算执行。强化财政预算执行的刚性约束，提前部署启动政府采购项目，预算通过初审后，立即组织相关单位启动下年度政府采购项目的工作。同时，不断优化部门预算支出结构、合理编报用款计划、合理改进支出方式、简化支付审批流程，确保按照财政规定时间节点完成进度要求，更好发挥财政资金的使用效益。</w:t>
      </w:r>
    </w:p>
    <w:p>
      <w:pPr>
        <w:pStyle w:val="27"/>
      </w:pPr>
      <w:r>
        <w:t>5、完善评价机制。按要求开展绩效运行监控，成立专门的绩效评价工作小组，制定科学有效的评价方法，对部门所有专项资金的经济性、效率性以及绩效目标的实现程度进行全方位全过程评价，发现问题及时采取措施，确保绩效目标如期保质实现。组织开展绩效自评和重点项目的重点评价，评价中要运用法律、行政和经济手段进行规范、管理、保障评价工作的有序推进，确保评价结果真实可信，并直接将评价结果与下年度预算安排挂钩，全面提高财政资金的使用效益。</w:t>
      </w:r>
    </w:p>
    <w:p>
      <w:pPr>
        <w:pStyle w:val="27"/>
      </w:pPr>
      <w:r>
        <w:t>6、加强政策宣传。坚持正确的舆论导向，针对财务人员组织开展多层次、多角度的业务培训，对全面实施预算绩效管理的重大意义、目标任务、工作举措和进展成效等多方面加以政策引导；牢固树立绩效理念，熟悉管理流程，掌握工作方法，提升业务素质和管理能力；不断提高所有人员对预算绩效政策的知晓率、参与度，形成全部门关心、支持、参与、监督预算绩效管理的良好氛围，全面提升预算绩效管理科学水平。</w:t>
      </w:r>
    </w:p>
    <w:p>
      <w:pPr>
        <w:spacing w:before="0" w:after="0" w:line="240" w:lineRule="auto"/>
        <w:ind w:firstLine="640" w:firstLineChars="200"/>
        <w:jc w:val="left"/>
        <w:outlineLvl w:val="9"/>
        <w:rPr>
          <w:rFonts w:ascii="方正楷体_GBK" w:hAnsi="方正楷体_GBK" w:eastAsia="方正楷体_GBK" w:cs="方正楷体_GBK"/>
          <w:b/>
          <w:color w:val="000000"/>
          <w:sz w:val="32"/>
        </w:rPr>
      </w:pPr>
    </w:p>
    <w:p>
      <w:pPr>
        <w:spacing w:before="0" w:after="0" w:line="240" w:lineRule="auto"/>
        <w:ind w:firstLine="640" w:firstLineChars="20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第二部分    </w:t>
      </w:r>
      <w:r>
        <w:rPr>
          <w:rFonts w:hint="eastAsia" w:ascii="方正楷体_GBK" w:hAnsi="方正楷体_GBK" w:eastAsia="方正楷体_GBK" w:cs="方正楷体_GBK"/>
          <w:b/>
          <w:color w:val="000000"/>
          <w:sz w:val="32"/>
          <w:lang w:val="en-US" w:eastAsia="zh-CN"/>
        </w:rPr>
        <w:t>专项资金</w:t>
      </w:r>
      <w:r>
        <w:rPr>
          <w:rFonts w:ascii="方正楷体_GBK" w:hAnsi="方正楷体_GBK" w:eastAsia="方正楷体_GBK" w:cs="方正楷体_GBK"/>
          <w:b/>
          <w:color w:val="000000"/>
          <w:sz w:val="32"/>
        </w:rPr>
        <w:t>绩效目标</w:t>
      </w:r>
    </w:p>
    <w:p>
      <w:pPr>
        <w:spacing w:before="0" w:after="0" w:line="240" w:lineRule="auto"/>
        <w:jc w:val="left"/>
        <w:outlineLvl w:val="9"/>
        <w:rPr>
          <w:rFonts w:ascii="方正楷体_GBK" w:hAnsi="方正楷体_GBK" w:eastAsia="方正楷体_GBK" w:cs="方正楷体_GBK"/>
          <w:b/>
          <w:color w:val="000000"/>
          <w:sz w:val="32"/>
        </w:rPr>
      </w:pPr>
    </w:p>
    <w:p>
      <w:pPr>
        <w:spacing w:before="0" w:after="0" w:line="240" w:lineRule="auto"/>
        <w:jc w:val="left"/>
        <w:outlineLvl w:val="9"/>
        <w:rPr>
          <w:rFonts w:hint="default" w:ascii="方正楷体_GBK" w:hAnsi="方正楷体_GBK" w:eastAsia="方正楷体_GBK" w:cs="方正楷体_GBK"/>
          <w:b/>
          <w:color w:val="000000"/>
          <w:sz w:val="32"/>
          <w:lang w:val="en-US" w:eastAsia="zh-CN"/>
        </w:rPr>
        <w:sectPr>
          <w:pgSz w:w="16840" w:h="11900" w:orient="landscape"/>
          <w:pgMar w:top="1361" w:right="1020" w:bottom="1134" w:left="1020" w:header="720" w:footer="720" w:gutter="0"/>
          <w:cols w:space="720" w:num="1"/>
        </w:sectPr>
      </w:pPr>
      <w:r>
        <w:rPr>
          <w:rFonts w:hint="eastAsia" w:ascii="方正楷体_GBK" w:hAnsi="方正楷体_GBK" w:eastAsia="方正楷体_GBK" w:cs="方正楷体_GBK"/>
          <w:b/>
          <w:color w:val="000000"/>
          <w:sz w:val="32"/>
          <w:lang w:val="en-US" w:eastAsia="zh-CN"/>
        </w:rPr>
        <w:t xml:space="preserve">       无</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firstLineChars="20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三</w:t>
      </w:r>
      <w:r>
        <w:rPr>
          <w:rFonts w:ascii="方正楷体_GBK" w:hAnsi="方正楷体_GBK" w:eastAsia="方正楷体_GBK" w:cs="方正楷体_GBK"/>
          <w:b/>
          <w:color w:val="000000"/>
          <w:sz w:val="32"/>
        </w:rPr>
        <w:t>部分    预算项目绩效目标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1、落实河北省中长期青年发展规划工作经费绩效目标表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1561"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1.开展各类培训班，提高全市各级团组织基础团务、希望工程、网上共青团建设等工作水平</w:t>
            </w:r>
          </w:p>
          <w:p>
            <w:pPr>
              <w:pStyle w:val="16"/>
            </w:pPr>
            <w:r>
              <w:t>2.开展各类会议，推动市县两级落实中长期青年发展规划，希望工程、少先队等工作落地落实。</w:t>
            </w:r>
          </w:p>
          <w:p>
            <w:pPr>
              <w:pStyle w:val="16"/>
            </w:pPr>
            <w:r>
              <w:t>3.购买日常办公用品及办公设备，维护机关正常运行，提升装备质量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组织培训班次</w:t>
            </w:r>
          </w:p>
        </w:tc>
        <w:tc>
          <w:tcPr>
            <w:tcW w:w="2466" w:type="dxa"/>
            <w:vAlign w:val="center"/>
          </w:tcPr>
          <w:p>
            <w:pPr>
              <w:pStyle w:val="16"/>
            </w:pPr>
            <w:r>
              <w:t>组织培训班次</w:t>
            </w:r>
          </w:p>
        </w:tc>
        <w:tc>
          <w:tcPr>
            <w:tcW w:w="2466" w:type="dxa"/>
            <w:vAlign w:val="center"/>
          </w:tcPr>
          <w:p>
            <w:pPr>
              <w:pStyle w:val="16"/>
            </w:pPr>
            <w:r>
              <w:t>≥3场</w:t>
            </w:r>
          </w:p>
        </w:tc>
        <w:tc>
          <w:tcPr>
            <w:tcW w:w="2466" w:type="dxa"/>
            <w:vAlign w:val="center"/>
          </w:tcPr>
          <w:p>
            <w:pPr>
              <w:pStyle w:val="16"/>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相关会议次数</w:t>
            </w:r>
          </w:p>
        </w:tc>
        <w:tc>
          <w:tcPr>
            <w:tcW w:w="2466" w:type="dxa"/>
            <w:vAlign w:val="center"/>
          </w:tcPr>
          <w:p>
            <w:pPr>
              <w:pStyle w:val="16"/>
            </w:pPr>
            <w:r>
              <w:t>相关会议次数</w:t>
            </w:r>
          </w:p>
        </w:tc>
        <w:tc>
          <w:tcPr>
            <w:tcW w:w="2466" w:type="dxa"/>
            <w:vAlign w:val="center"/>
          </w:tcPr>
          <w:p>
            <w:pPr>
              <w:pStyle w:val="16"/>
            </w:pPr>
            <w:r>
              <w:t>≥</w:t>
            </w:r>
            <w:r>
              <w:rPr>
                <w:rFonts w:hint="eastAsia"/>
                <w:lang w:val="en-US" w:eastAsia="zh-CN"/>
              </w:rPr>
              <w:t>5</w:t>
            </w:r>
            <w:r>
              <w:t>场</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办公用品数量</w:t>
            </w:r>
          </w:p>
        </w:tc>
        <w:tc>
          <w:tcPr>
            <w:tcW w:w="2466" w:type="dxa"/>
            <w:vAlign w:val="center"/>
          </w:tcPr>
          <w:p>
            <w:pPr>
              <w:pStyle w:val="16"/>
            </w:pPr>
            <w:r>
              <w:t>购买办公用品</w:t>
            </w:r>
          </w:p>
        </w:tc>
        <w:tc>
          <w:tcPr>
            <w:tcW w:w="2466" w:type="dxa"/>
            <w:vAlign w:val="center"/>
          </w:tcPr>
          <w:p>
            <w:pPr>
              <w:pStyle w:val="16"/>
            </w:pPr>
            <w:r>
              <w:t>≥200件</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培训出勤率（%）</w:t>
            </w:r>
          </w:p>
        </w:tc>
        <w:tc>
          <w:tcPr>
            <w:tcW w:w="2466" w:type="dxa"/>
            <w:vAlign w:val="center"/>
          </w:tcPr>
          <w:p>
            <w:pPr>
              <w:pStyle w:val="16"/>
            </w:pPr>
            <w:r>
              <w:t>培训出勤率（%）</w:t>
            </w:r>
          </w:p>
        </w:tc>
        <w:tc>
          <w:tcPr>
            <w:tcW w:w="2466" w:type="dxa"/>
            <w:vAlign w:val="center"/>
          </w:tcPr>
          <w:p>
            <w:pPr>
              <w:pStyle w:val="16"/>
            </w:pPr>
            <w:r>
              <w:t>≥90%</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培训班、会议完成率</w:t>
            </w:r>
          </w:p>
          <w:p>
            <w:pPr>
              <w:pStyle w:val="16"/>
            </w:pPr>
          </w:p>
          <w:p>
            <w:pPr>
              <w:pStyle w:val="16"/>
            </w:pPr>
          </w:p>
        </w:tc>
        <w:tc>
          <w:tcPr>
            <w:tcW w:w="2466" w:type="dxa"/>
            <w:vAlign w:val="center"/>
          </w:tcPr>
          <w:p>
            <w:pPr>
              <w:pStyle w:val="16"/>
            </w:pPr>
            <w:r>
              <w:t>培训班、会议完成率</w:t>
            </w:r>
          </w:p>
          <w:p>
            <w:pPr>
              <w:pStyle w:val="16"/>
            </w:pPr>
          </w:p>
          <w:p>
            <w:pPr>
              <w:pStyle w:val="16"/>
            </w:pPr>
          </w:p>
        </w:tc>
        <w:tc>
          <w:tcPr>
            <w:tcW w:w="2466" w:type="dxa"/>
            <w:vAlign w:val="center"/>
          </w:tcPr>
          <w:p>
            <w:pPr>
              <w:pStyle w:val="16"/>
            </w:pPr>
            <w:r>
              <w:t>≥90%</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办公用品合格率</w:t>
            </w:r>
          </w:p>
        </w:tc>
        <w:tc>
          <w:tcPr>
            <w:tcW w:w="2466" w:type="dxa"/>
            <w:vAlign w:val="center"/>
          </w:tcPr>
          <w:p>
            <w:pPr>
              <w:pStyle w:val="16"/>
            </w:pPr>
            <w:r>
              <w:t>办公用品合格率</w:t>
            </w:r>
          </w:p>
        </w:tc>
        <w:tc>
          <w:tcPr>
            <w:tcW w:w="2466" w:type="dxa"/>
            <w:vAlign w:val="center"/>
          </w:tcPr>
          <w:p>
            <w:pPr>
              <w:pStyle w:val="16"/>
            </w:pPr>
            <w:r>
              <w:t>≥90%</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各项任务完成及时率（%）</w:t>
            </w:r>
          </w:p>
        </w:tc>
        <w:tc>
          <w:tcPr>
            <w:tcW w:w="2466" w:type="dxa"/>
            <w:vAlign w:val="center"/>
          </w:tcPr>
          <w:p>
            <w:pPr>
              <w:pStyle w:val="16"/>
            </w:pPr>
            <w:r>
              <w:t>各项任务完成及时率（%）</w:t>
            </w:r>
          </w:p>
        </w:tc>
        <w:tc>
          <w:tcPr>
            <w:tcW w:w="2466" w:type="dxa"/>
            <w:vAlign w:val="center"/>
          </w:tcPr>
          <w:p>
            <w:pPr>
              <w:pStyle w:val="16"/>
            </w:pPr>
            <w:r>
              <w:t>≥90%</w:t>
            </w:r>
          </w:p>
        </w:tc>
        <w:tc>
          <w:tcPr>
            <w:tcW w:w="2466" w:type="dxa"/>
            <w:vAlign w:val="center"/>
          </w:tcPr>
          <w:p>
            <w:pPr>
              <w:pStyle w:val="16"/>
              <w:ind w:firstLine="0" w:firstLineChars="0"/>
            </w:pPr>
            <w:r>
              <w:rPr>
                <w:rFonts w:hint="eastAsia"/>
                <w:lang w:val="en-US" w:eastAsia="zh-CN"/>
              </w:rPr>
              <w:t>2023年团市委</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总体支出</w:t>
            </w:r>
          </w:p>
        </w:tc>
        <w:tc>
          <w:tcPr>
            <w:tcW w:w="2466" w:type="dxa"/>
            <w:vAlign w:val="center"/>
          </w:tcPr>
          <w:p>
            <w:pPr>
              <w:pStyle w:val="16"/>
            </w:pPr>
            <w:r>
              <w:t>总体支出</w:t>
            </w:r>
          </w:p>
        </w:tc>
        <w:tc>
          <w:tcPr>
            <w:tcW w:w="2466" w:type="dxa"/>
            <w:vAlign w:val="center"/>
          </w:tcPr>
          <w:p>
            <w:pPr>
              <w:pStyle w:val="16"/>
            </w:pPr>
            <w:r>
              <w:t>≤</w:t>
            </w:r>
            <w:r>
              <w:rPr>
                <w:rFonts w:hint="eastAsia"/>
                <w:lang w:val="en-US" w:eastAsia="zh-CN"/>
              </w:rPr>
              <w:t>33.57</w:t>
            </w:r>
            <w:r>
              <w:t>万</w:t>
            </w:r>
          </w:p>
        </w:tc>
        <w:tc>
          <w:tcPr>
            <w:tcW w:w="2466" w:type="dxa"/>
            <w:vAlign w:val="center"/>
          </w:tcPr>
          <w:p>
            <w:pPr>
              <w:pStyle w:val="16"/>
              <w:rPr>
                <w:rFonts w:hint="default" w:eastAsia="方正书宋_GBK"/>
                <w:lang w:val="en-US" w:eastAsia="zh-CN"/>
              </w:rPr>
            </w:pPr>
            <w:r>
              <w:rPr>
                <w:rFonts w:hint="eastAsia"/>
                <w:lang w:val="en-US" w:eastAsia="zh-CN"/>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培训效果影响程度</w:t>
            </w:r>
          </w:p>
        </w:tc>
        <w:tc>
          <w:tcPr>
            <w:tcW w:w="2466" w:type="dxa"/>
            <w:vAlign w:val="center"/>
          </w:tcPr>
          <w:p>
            <w:pPr>
              <w:pStyle w:val="16"/>
            </w:pPr>
            <w:r>
              <w:t>培训效果影响程度</w:t>
            </w:r>
          </w:p>
        </w:tc>
        <w:tc>
          <w:tcPr>
            <w:tcW w:w="2466" w:type="dxa"/>
            <w:vAlign w:val="center"/>
          </w:tcPr>
          <w:p>
            <w:pPr>
              <w:pStyle w:val="16"/>
            </w:pPr>
            <w:r>
              <w:t>≥90%</w:t>
            </w:r>
          </w:p>
        </w:tc>
        <w:tc>
          <w:tcPr>
            <w:tcW w:w="2466" w:type="dxa"/>
            <w:vAlign w:val="center"/>
          </w:tcPr>
          <w:p>
            <w:pPr>
              <w:pStyle w:val="16"/>
              <w:rPr>
                <w:rFonts w:hint="default" w:eastAsia="方正书宋_GBK"/>
                <w:lang w:val="en-US" w:eastAsia="zh-CN"/>
              </w:rPr>
            </w:pPr>
            <w:r>
              <w:rPr>
                <w:rFonts w:hint="eastAsia"/>
                <w:lang w:val="en-US" w:eastAsia="zh-CN"/>
              </w:rP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受训人员及参会人员满意度</w:t>
            </w:r>
          </w:p>
        </w:tc>
        <w:tc>
          <w:tcPr>
            <w:tcW w:w="2466" w:type="dxa"/>
            <w:vAlign w:val="center"/>
          </w:tcPr>
          <w:p>
            <w:pPr>
              <w:pStyle w:val="16"/>
            </w:pPr>
            <w:r>
              <w:t>参加培训及会议人员满意数占总数的比率</w:t>
            </w:r>
          </w:p>
        </w:tc>
        <w:tc>
          <w:tcPr>
            <w:tcW w:w="2466" w:type="dxa"/>
            <w:vAlign w:val="center"/>
          </w:tcPr>
          <w:p>
            <w:pPr>
              <w:pStyle w:val="16"/>
            </w:pPr>
            <w:r>
              <w:t>≥90%</w:t>
            </w:r>
          </w:p>
        </w:tc>
        <w:tc>
          <w:tcPr>
            <w:tcW w:w="2466" w:type="dxa"/>
            <w:vAlign w:val="center"/>
          </w:tcPr>
          <w:p>
            <w:pPr>
              <w:pStyle w:val="16"/>
            </w:pPr>
            <w:r>
              <w:rPr>
                <w:rFonts w:hint="eastAsia"/>
                <w:lang w:val="en-US" w:eastAsia="zh-CN"/>
              </w:rPr>
              <w:t>2022年历史经验</w:t>
            </w:r>
          </w:p>
        </w:tc>
      </w:tr>
    </w:tbl>
    <w:p>
      <w:pPr>
        <w:sectPr>
          <w:pgSz w:w="16840" w:h="11900" w:orient="landscape"/>
          <w:pgMar w:top="1361" w:right="1020" w:bottom="1134" w:left="1020" w:header="720" w:footer="720" w:gutter="0"/>
          <w:cols w:space="720" w:num="1"/>
        </w:sectPr>
      </w:pPr>
    </w:p>
    <w:p>
      <w:pPr>
        <w:spacing w:before="0" w:after="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2、预防青少年违法犯罪专项经费绩效目标表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1.开展预防青少年违法犯罪普法宣传和心理教育活动，提高青少年法律意识。</w:t>
            </w:r>
          </w:p>
          <w:p>
            <w:pPr>
              <w:pStyle w:val="16"/>
            </w:pPr>
            <w:r>
              <w:t>2.开展重点青少年帮扶活动，提高其生活质量。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宣传教育活动场次</w:t>
            </w:r>
          </w:p>
        </w:tc>
        <w:tc>
          <w:tcPr>
            <w:tcW w:w="2466" w:type="dxa"/>
            <w:vAlign w:val="center"/>
          </w:tcPr>
          <w:p>
            <w:pPr>
              <w:pStyle w:val="16"/>
            </w:pPr>
            <w:r>
              <w:t>宣传教育活动场次</w:t>
            </w:r>
          </w:p>
        </w:tc>
        <w:tc>
          <w:tcPr>
            <w:tcW w:w="2466" w:type="dxa"/>
            <w:vAlign w:val="center"/>
          </w:tcPr>
          <w:p>
            <w:pPr>
              <w:pStyle w:val="16"/>
            </w:pPr>
            <w:r>
              <w:t>≥10次</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帮扶重点青少年人数</w:t>
            </w:r>
          </w:p>
        </w:tc>
        <w:tc>
          <w:tcPr>
            <w:tcW w:w="2466" w:type="dxa"/>
            <w:vAlign w:val="center"/>
          </w:tcPr>
          <w:p>
            <w:pPr>
              <w:pStyle w:val="16"/>
            </w:pPr>
            <w:r>
              <w:t>对重点青少年开展帮扶慰问</w:t>
            </w:r>
          </w:p>
        </w:tc>
        <w:tc>
          <w:tcPr>
            <w:tcW w:w="2466" w:type="dxa"/>
            <w:vAlign w:val="center"/>
          </w:tcPr>
          <w:p>
            <w:pPr>
              <w:pStyle w:val="16"/>
            </w:pPr>
            <w:r>
              <w:t>≥</w:t>
            </w:r>
            <w:r>
              <w:rPr>
                <w:rFonts w:hint="eastAsia"/>
                <w:lang w:val="en-US" w:eastAsia="zh-CN"/>
              </w:rPr>
              <w:t>1</w:t>
            </w:r>
            <w:r>
              <w:t>0人</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参加活动出勤率</w:t>
            </w:r>
          </w:p>
        </w:tc>
        <w:tc>
          <w:tcPr>
            <w:tcW w:w="2466" w:type="dxa"/>
            <w:vAlign w:val="center"/>
          </w:tcPr>
          <w:p>
            <w:pPr>
              <w:pStyle w:val="16"/>
            </w:pPr>
            <w:r>
              <w:t>参加活动人员出勤率</w:t>
            </w:r>
          </w:p>
        </w:tc>
        <w:tc>
          <w:tcPr>
            <w:tcW w:w="2466" w:type="dxa"/>
            <w:vAlign w:val="center"/>
          </w:tcPr>
          <w:p>
            <w:pPr>
              <w:pStyle w:val="16"/>
            </w:pPr>
            <w:r>
              <w:t>≥80%</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补贴收益人群覆盖率</w:t>
            </w:r>
          </w:p>
        </w:tc>
        <w:tc>
          <w:tcPr>
            <w:tcW w:w="2466" w:type="dxa"/>
            <w:vAlign w:val="center"/>
          </w:tcPr>
          <w:p>
            <w:pPr>
              <w:pStyle w:val="16"/>
            </w:pPr>
            <w:r>
              <w:t>针对特定人群补贴，保障基本生活</w:t>
            </w:r>
          </w:p>
        </w:tc>
        <w:tc>
          <w:tcPr>
            <w:tcW w:w="2466" w:type="dxa"/>
            <w:vAlign w:val="center"/>
          </w:tcPr>
          <w:p>
            <w:pPr>
              <w:pStyle w:val="16"/>
            </w:pPr>
            <w:r>
              <w:t>≥3人</w:t>
            </w:r>
          </w:p>
        </w:tc>
        <w:tc>
          <w:tcPr>
            <w:tcW w:w="2466" w:type="dxa"/>
            <w:vAlign w:val="center"/>
          </w:tcPr>
          <w:p>
            <w:pPr>
              <w:pStyle w:val="16"/>
            </w:pPr>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实际工作完成及时性</w:t>
            </w:r>
          </w:p>
        </w:tc>
        <w:tc>
          <w:tcPr>
            <w:tcW w:w="2466" w:type="dxa"/>
            <w:vAlign w:val="center"/>
          </w:tcPr>
          <w:p>
            <w:pPr>
              <w:pStyle w:val="16"/>
            </w:pPr>
            <w:r>
              <w:t>按照工作计划，逐步推进工作</w:t>
            </w:r>
          </w:p>
        </w:tc>
        <w:tc>
          <w:tcPr>
            <w:tcW w:w="2466" w:type="dxa"/>
            <w:vAlign w:val="center"/>
          </w:tcPr>
          <w:p>
            <w:pPr>
              <w:pStyle w:val="16"/>
            </w:pPr>
            <w:r>
              <w:t>≥90%</w:t>
            </w:r>
          </w:p>
        </w:tc>
        <w:tc>
          <w:tcPr>
            <w:tcW w:w="2466" w:type="dxa"/>
            <w:vAlign w:val="center"/>
          </w:tcPr>
          <w:p>
            <w:pPr>
              <w:pStyle w:val="16"/>
            </w:pPr>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总体支出</w:t>
            </w:r>
          </w:p>
        </w:tc>
        <w:tc>
          <w:tcPr>
            <w:tcW w:w="2466" w:type="dxa"/>
            <w:vAlign w:val="center"/>
          </w:tcPr>
          <w:p>
            <w:pPr>
              <w:pStyle w:val="16"/>
            </w:pPr>
            <w:r>
              <w:t>用于预青普法宣传、中高考减压、重点青少年群体帮扶等相关工作支出</w:t>
            </w:r>
          </w:p>
        </w:tc>
        <w:tc>
          <w:tcPr>
            <w:tcW w:w="2466" w:type="dxa"/>
            <w:vAlign w:val="center"/>
          </w:tcPr>
          <w:p>
            <w:pPr>
              <w:pStyle w:val="16"/>
            </w:pPr>
            <w:r>
              <w:t>≤</w:t>
            </w:r>
            <w:r>
              <w:rPr>
                <w:rFonts w:hint="eastAsia"/>
                <w:lang w:val="en-US" w:eastAsia="zh-CN"/>
              </w:rPr>
              <w:t>5.83</w:t>
            </w:r>
            <w:r>
              <w:t>万</w:t>
            </w:r>
          </w:p>
        </w:tc>
        <w:tc>
          <w:tcPr>
            <w:tcW w:w="2466"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宣传、活动影响力</w:t>
            </w:r>
          </w:p>
        </w:tc>
        <w:tc>
          <w:tcPr>
            <w:tcW w:w="2466" w:type="dxa"/>
            <w:vAlign w:val="center"/>
          </w:tcPr>
          <w:p>
            <w:pPr>
              <w:pStyle w:val="16"/>
            </w:pPr>
            <w:r>
              <w:t>宣传、活动影响力</w:t>
            </w:r>
          </w:p>
        </w:tc>
        <w:tc>
          <w:tcPr>
            <w:tcW w:w="2466" w:type="dxa"/>
            <w:vAlign w:val="center"/>
          </w:tcPr>
          <w:p>
            <w:pPr>
              <w:pStyle w:val="16"/>
            </w:pPr>
            <w:r>
              <w:t>≥90%</w:t>
            </w:r>
          </w:p>
        </w:tc>
        <w:tc>
          <w:tcPr>
            <w:tcW w:w="2466" w:type="dxa"/>
            <w:vAlign w:val="center"/>
          </w:tcPr>
          <w:p>
            <w:pPr>
              <w:pStyle w:val="16"/>
            </w:pPr>
            <w:r>
              <w:rPr>
                <w:rFonts w:hint="eastAsia"/>
                <w:lang w:val="en-US" w:eastAsia="zh-CN"/>
              </w:rP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受训人员及参会人员满意度</w:t>
            </w:r>
          </w:p>
        </w:tc>
        <w:tc>
          <w:tcPr>
            <w:tcW w:w="2466" w:type="dxa"/>
            <w:vAlign w:val="center"/>
          </w:tcPr>
          <w:p>
            <w:pPr>
              <w:pStyle w:val="16"/>
            </w:pPr>
            <w:r>
              <w:t>参加培训及会议人员满意数占总数的比率</w:t>
            </w:r>
          </w:p>
        </w:tc>
        <w:tc>
          <w:tcPr>
            <w:tcW w:w="2466" w:type="dxa"/>
            <w:vAlign w:val="center"/>
          </w:tcPr>
          <w:p>
            <w:pPr>
              <w:pStyle w:val="16"/>
            </w:pPr>
            <w:r>
              <w:t>≥90%</w:t>
            </w:r>
          </w:p>
        </w:tc>
        <w:tc>
          <w:tcPr>
            <w:tcW w:w="2466" w:type="dxa"/>
            <w:vAlign w:val="center"/>
          </w:tcPr>
          <w:p>
            <w:pPr>
              <w:pStyle w:val="16"/>
            </w:pPr>
            <w:r>
              <w:rPr>
                <w:rFonts w:hint="eastAsia"/>
                <w:lang w:val="en-US" w:eastAsia="zh-CN"/>
              </w:rPr>
              <w:t>2022年历史经验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3、志愿服务项目专项经费绩效目标表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1.开展志愿服务工作及相关培训和项目，提升全市青年志愿者服务水平</w:t>
            </w:r>
          </w:p>
          <w:p>
            <w:pPr>
              <w:pStyle w:val="16"/>
            </w:pPr>
            <w:r>
              <w:t>2.召开志愿服务相关会议，推动志愿服务工作开展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组织培训、会议次数（次）</w:t>
            </w:r>
          </w:p>
        </w:tc>
        <w:tc>
          <w:tcPr>
            <w:tcW w:w="2466" w:type="dxa"/>
            <w:vAlign w:val="center"/>
          </w:tcPr>
          <w:p>
            <w:pPr>
              <w:pStyle w:val="16"/>
            </w:pPr>
            <w:r>
              <w:t>组织培训、会议次数（次）</w:t>
            </w:r>
          </w:p>
        </w:tc>
        <w:tc>
          <w:tcPr>
            <w:tcW w:w="2466" w:type="dxa"/>
            <w:vAlign w:val="center"/>
          </w:tcPr>
          <w:p>
            <w:pPr>
              <w:pStyle w:val="16"/>
            </w:pPr>
            <w:r>
              <w:t>≥5次</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培训出勤率(%)</w:t>
            </w:r>
          </w:p>
        </w:tc>
        <w:tc>
          <w:tcPr>
            <w:tcW w:w="2466" w:type="dxa"/>
            <w:vAlign w:val="center"/>
          </w:tcPr>
          <w:p>
            <w:pPr>
              <w:pStyle w:val="16"/>
            </w:pPr>
            <w:r>
              <w:t>培训出勤率(%)</w:t>
            </w:r>
          </w:p>
        </w:tc>
        <w:tc>
          <w:tcPr>
            <w:tcW w:w="2466" w:type="dxa"/>
            <w:vAlign w:val="center"/>
          </w:tcPr>
          <w:p>
            <w:pPr>
              <w:pStyle w:val="16"/>
            </w:pPr>
            <w:r>
              <w:t>≥90%</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工作完成及时性</w:t>
            </w:r>
          </w:p>
        </w:tc>
        <w:tc>
          <w:tcPr>
            <w:tcW w:w="2466" w:type="dxa"/>
            <w:vAlign w:val="center"/>
          </w:tcPr>
          <w:p>
            <w:pPr>
              <w:pStyle w:val="16"/>
            </w:pPr>
            <w:r>
              <w:t>按照工作计划逐步推进</w:t>
            </w:r>
          </w:p>
        </w:tc>
        <w:tc>
          <w:tcPr>
            <w:tcW w:w="2466" w:type="dxa"/>
            <w:vAlign w:val="center"/>
          </w:tcPr>
          <w:p>
            <w:pPr>
              <w:pStyle w:val="16"/>
            </w:pPr>
            <w:r>
              <w:t>≥90%</w:t>
            </w:r>
          </w:p>
        </w:tc>
        <w:tc>
          <w:tcPr>
            <w:tcW w:w="2466" w:type="dxa"/>
            <w:vAlign w:val="center"/>
          </w:tcPr>
          <w:p>
            <w:r>
              <w:rPr>
                <w:rFonts w:hint="eastAsia"/>
                <w:lang w:val="en-US" w:eastAsia="zh-CN"/>
              </w:rPr>
              <w:t>团市委2023年</w:t>
            </w:r>
            <w: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总体支出</w:t>
            </w:r>
          </w:p>
        </w:tc>
        <w:tc>
          <w:tcPr>
            <w:tcW w:w="2466" w:type="dxa"/>
            <w:vAlign w:val="center"/>
          </w:tcPr>
          <w:p>
            <w:pPr>
              <w:pStyle w:val="16"/>
            </w:pPr>
            <w:r>
              <w:t>培训、会议等支出</w:t>
            </w:r>
          </w:p>
        </w:tc>
        <w:tc>
          <w:tcPr>
            <w:tcW w:w="2466" w:type="dxa"/>
            <w:vAlign w:val="center"/>
          </w:tcPr>
          <w:p>
            <w:pPr>
              <w:pStyle w:val="16"/>
            </w:pPr>
            <w:r>
              <w:t>≥</w:t>
            </w:r>
            <w:r>
              <w:rPr>
                <w:rFonts w:hint="eastAsia"/>
                <w:lang w:val="en-US" w:eastAsia="zh-CN"/>
              </w:rPr>
              <w:t>17.5</w:t>
            </w:r>
            <w:r>
              <w:t>万</w:t>
            </w:r>
          </w:p>
        </w:tc>
        <w:tc>
          <w:tcPr>
            <w:tcW w:w="2466" w:type="dxa"/>
            <w:vAlign w:val="center"/>
          </w:tcPr>
          <w:p>
            <w:pPr>
              <w:pStyle w:val="16"/>
              <w:rPr>
                <w:rFonts w:hint="eastAsia" w:eastAsia="方正书宋_GBK"/>
                <w:lang w:eastAsia="zh-CN"/>
              </w:rPr>
            </w:pPr>
            <w:r>
              <w:rPr>
                <w:rFonts w:hint="eastAsia"/>
                <w:lang w:val="en-US" w:eastAsia="zh-CN"/>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培训班效果</w:t>
            </w:r>
          </w:p>
        </w:tc>
        <w:tc>
          <w:tcPr>
            <w:tcW w:w="2466" w:type="dxa"/>
            <w:vAlign w:val="center"/>
          </w:tcPr>
          <w:p>
            <w:pPr>
              <w:pStyle w:val="16"/>
            </w:pPr>
            <w:r>
              <w:t>提升全市青年志愿者服务水平</w:t>
            </w:r>
          </w:p>
        </w:tc>
        <w:tc>
          <w:tcPr>
            <w:tcW w:w="2466" w:type="dxa"/>
            <w:vAlign w:val="center"/>
          </w:tcPr>
          <w:p>
            <w:pPr>
              <w:pStyle w:val="16"/>
            </w:pPr>
            <w:r>
              <w:t>≥90%</w:t>
            </w:r>
          </w:p>
        </w:tc>
        <w:tc>
          <w:tcPr>
            <w:tcW w:w="2466" w:type="dxa"/>
            <w:vAlign w:val="center"/>
          </w:tcPr>
          <w:p>
            <w:r>
              <w:rPr>
                <w:rFonts w:hint="eastAsia"/>
                <w:lang w:val="en-US" w:eastAsia="zh-CN"/>
              </w:rP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会议召开效果</w:t>
            </w:r>
          </w:p>
        </w:tc>
        <w:tc>
          <w:tcPr>
            <w:tcW w:w="2466" w:type="dxa"/>
            <w:vAlign w:val="center"/>
          </w:tcPr>
          <w:p>
            <w:pPr>
              <w:pStyle w:val="16"/>
            </w:pPr>
            <w:r>
              <w:t>推动开展城市志愿者服务水平</w:t>
            </w:r>
          </w:p>
        </w:tc>
        <w:tc>
          <w:tcPr>
            <w:tcW w:w="2466" w:type="dxa"/>
            <w:vAlign w:val="center"/>
          </w:tcPr>
          <w:p>
            <w:pPr>
              <w:pStyle w:val="16"/>
            </w:pPr>
            <w:r>
              <w:t>≥90%</w:t>
            </w:r>
          </w:p>
        </w:tc>
        <w:tc>
          <w:tcPr>
            <w:tcW w:w="2466" w:type="dxa"/>
            <w:vAlign w:val="center"/>
          </w:tcPr>
          <w:p>
            <w:r>
              <w:rPr>
                <w:rFonts w:hint="eastAsia"/>
                <w:lang w:val="en-US" w:eastAsia="zh-CN"/>
              </w:rP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受训人员及参会人员满意度</w:t>
            </w:r>
          </w:p>
        </w:tc>
        <w:tc>
          <w:tcPr>
            <w:tcW w:w="2466" w:type="dxa"/>
            <w:vAlign w:val="center"/>
          </w:tcPr>
          <w:p>
            <w:pPr>
              <w:pStyle w:val="16"/>
            </w:pPr>
            <w:r>
              <w:t>参加培训及会议人员满意数占总数的比率</w:t>
            </w:r>
          </w:p>
        </w:tc>
        <w:tc>
          <w:tcPr>
            <w:tcW w:w="2466" w:type="dxa"/>
            <w:vAlign w:val="center"/>
          </w:tcPr>
          <w:p>
            <w:pPr>
              <w:pStyle w:val="16"/>
            </w:pPr>
            <w:r>
              <w:t>≥90%</w:t>
            </w:r>
          </w:p>
        </w:tc>
        <w:tc>
          <w:tcPr>
            <w:tcW w:w="2466" w:type="dxa"/>
            <w:vAlign w:val="center"/>
          </w:tcPr>
          <w:p>
            <w:r>
              <w:rPr>
                <w:rFonts w:hint="eastAsia"/>
                <w:lang w:val="en-US" w:eastAsia="zh-CN"/>
              </w:rPr>
              <w:t>2022年历史经验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年，共青团张家口市委员会安排政府采购预算0.00万元。具体内容见下表。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712共青团张家口市委员会</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共青团张家口市委员会（含所属单位）上年末固定资产金额为</w:t>
      </w:r>
      <w:r>
        <w:rPr>
          <w:rFonts w:hint="eastAsia" w:eastAsia="方正仿宋_GBK" w:cs="Times New Roman"/>
          <w:b w:val="0"/>
          <w:color w:val="000000"/>
          <w:sz w:val="28"/>
          <w:lang w:val="en-US" w:eastAsia="zh-CN"/>
        </w:rPr>
        <w:t>89.09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712共青团张家口市委员会</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rFonts w:hint="default" w:eastAsia="方正书宋_GBK"/>
                <w:lang w:val="en-US" w:eastAsia="zh-CN"/>
              </w:rPr>
            </w:pPr>
            <w:r>
              <w:rPr>
                <w:rFonts w:hint="eastAsia"/>
                <w:lang w:val="en-US" w:eastAsia="zh-CN"/>
              </w:rPr>
              <w:t>89.09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408</w:t>
            </w:r>
          </w:p>
        </w:tc>
        <w:tc>
          <w:tcPr>
            <w:tcW w:w="2835" w:type="dxa"/>
            <w:vAlign w:val="center"/>
          </w:tcPr>
          <w:p>
            <w:pPr>
              <w:pStyle w:val="15"/>
              <w:rPr>
                <w:rFonts w:hint="default" w:eastAsia="方正书宋_GBK"/>
                <w:lang w:val="en-US" w:eastAsia="zh-CN"/>
              </w:rPr>
            </w:pPr>
            <w:r>
              <w:rPr>
                <w:rFonts w:hint="eastAsia"/>
                <w:lang w:val="en-US" w:eastAsia="zh-CN"/>
              </w:rPr>
              <w:t>89.09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bookmarkStart w:id="18" w:name="_GoBack"/>
      <w:bookmarkEnd w:id="18"/>
    </w:p>
    <w:p>
      <w:pPr>
        <w:spacing w:before="0" w:after="0" w:line="240" w:lineRule="auto"/>
        <w:ind w:firstLine="0"/>
        <w:jc w:val="both"/>
        <w:outlineLvl w:val="9"/>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FDF85"/>
    <w:multiLevelType w:val="singleLevel"/>
    <w:tmpl w:val="47DFDF8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654C1"/>
    <w:rsid w:val="021756D5"/>
    <w:rsid w:val="02CE3A29"/>
    <w:rsid w:val="03C70CF7"/>
    <w:rsid w:val="068560C3"/>
    <w:rsid w:val="08FF02D3"/>
    <w:rsid w:val="0AE80876"/>
    <w:rsid w:val="0F904A16"/>
    <w:rsid w:val="0FC15C3A"/>
    <w:rsid w:val="140253D5"/>
    <w:rsid w:val="15AE7925"/>
    <w:rsid w:val="1A8D5164"/>
    <w:rsid w:val="1D521FC6"/>
    <w:rsid w:val="1FC62AAD"/>
    <w:rsid w:val="21831B09"/>
    <w:rsid w:val="22CD4976"/>
    <w:rsid w:val="28486025"/>
    <w:rsid w:val="286C2D61"/>
    <w:rsid w:val="28A97B0D"/>
    <w:rsid w:val="28CD627E"/>
    <w:rsid w:val="2B1B2E2D"/>
    <w:rsid w:val="2DFF42E7"/>
    <w:rsid w:val="2F3B20A7"/>
    <w:rsid w:val="2FBD1144"/>
    <w:rsid w:val="32E46623"/>
    <w:rsid w:val="34E93E19"/>
    <w:rsid w:val="39DFA29A"/>
    <w:rsid w:val="3C9B60FA"/>
    <w:rsid w:val="3F4F15A5"/>
    <w:rsid w:val="40CB045E"/>
    <w:rsid w:val="43E02C39"/>
    <w:rsid w:val="44BB06D3"/>
    <w:rsid w:val="49E360C7"/>
    <w:rsid w:val="49EB12D5"/>
    <w:rsid w:val="4A506A7B"/>
    <w:rsid w:val="4C301803"/>
    <w:rsid w:val="4D3C70C3"/>
    <w:rsid w:val="50D643AB"/>
    <w:rsid w:val="520B69A6"/>
    <w:rsid w:val="56DC7651"/>
    <w:rsid w:val="5A22286F"/>
    <w:rsid w:val="5BAFB277"/>
    <w:rsid w:val="5DD80013"/>
    <w:rsid w:val="5EBE66F4"/>
    <w:rsid w:val="5F933EDA"/>
    <w:rsid w:val="62F1160F"/>
    <w:rsid w:val="63CE1F90"/>
    <w:rsid w:val="652051C4"/>
    <w:rsid w:val="659F713B"/>
    <w:rsid w:val="67F38D70"/>
    <w:rsid w:val="689A0110"/>
    <w:rsid w:val="6C5268E1"/>
    <w:rsid w:val="6D464E8B"/>
    <w:rsid w:val="6EF6697E"/>
    <w:rsid w:val="6F1F9634"/>
    <w:rsid w:val="6FF9689E"/>
    <w:rsid w:val="70B25380"/>
    <w:rsid w:val="727DFB0C"/>
    <w:rsid w:val="75F52973"/>
    <w:rsid w:val="77D35F79"/>
    <w:rsid w:val="787DCBF5"/>
    <w:rsid w:val="7AC548F7"/>
    <w:rsid w:val="7B643B6B"/>
    <w:rsid w:val="7C9C22FF"/>
    <w:rsid w:val="7CF438AD"/>
    <w:rsid w:val="7D533281"/>
    <w:rsid w:val="7D9EE473"/>
    <w:rsid w:val="7DBFED9A"/>
    <w:rsid w:val="7DFFD163"/>
    <w:rsid w:val="7EE72AB1"/>
    <w:rsid w:val="7F6387A4"/>
    <w:rsid w:val="7FCF9880"/>
    <w:rsid w:val="BE7D299F"/>
    <w:rsid w:val="BFBF88EB"/>
    <w:rsid w:val="BFFFC0F6"/>
    <w:rsid w:val="EFAA7FD2"/>
    <w:rsid w:val="FB7ECB7D"/>
    <w:rsid w:val="FBFB4673"/>
    <w:rsid w:val="FEAE2076"/>
    <w:rsid w:val="FEFF5D58"/>
    <w:rsid w:val="FFCE23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32</Pages>
  <Words>9864</Words>
  <Characters>11473</Characters>
  <TotalTime>7</TotalTime>
  <ScaleCrop>false</ScaleCrop>
  <LinksUpToDate>false</LinksUpToDate>
  <CharactersWithSpaces>11654</CharactersWithSpaces>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2022-03-12T04:43:00Z</dcterms:created>
  <dc:creator>Administrator</dc:creator>
  <cp:lastModifiedBy>a</cp:lastModifiedBy>
  <dcterms:modified xsi:type="dcterms:W3CDTF">2023-08-16T01:01:48Z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84A426B0D0DE4CB7B80FE29B0FDA8BF6</vt:lpwstr>
  </property>
</Properties>
</file>